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ascii="黑体" w:hAnsi="黑体" w:eastAsia="黑体"/>
          <w:sz w:val="32"/>
          <w:szCs w:val="32"/>
        </w:rPr>
      </w:pPr>
      <w:r>
        <w:rPr>
          <w:rFonts w:hint="eastAsia" w:ascii="黑体" w:hAnsi="黑体" w:eastAsia="黑体"/>
          <w:sz w:val="32"/>
          <w:szCs w:val="32"/>
        </w:rPr>
        <w:t xml:space="preserve">附件1： </w:t>
      </w:r>
    </w:p>
    <w:p>
      <w:pPr>
        <w:spacing w:line="540" w:lineRule="exact"/>
        <w:rPr>
          <w:rFonts w:ascii="方正小标宋_GBK" w:hAnsi="宋体" w:eastAsia="方正小标宋_GBK"/>
          <w:sz w:val="44"/>
          <w:szCs w:val="44"/>
        </w:rPr>
      </w:pP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2018年度新疆喀什地区英吉沙县食品药品监督管理局部门决算</w:t>
      </w: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pPr>
        <w:spacing w:line="540" w:lineRule="exact"/>
        <w:rPr>
          <w:rFonts w:ascii="仿宋_GB2312" w:hAnsi="宋体" w:eastAsia="仿宋_GB2312"/>
          <w:sz w:val="32"/>
          <w:szCs w:val="32"/>
        </w:rPr>
      </w:pPr>
    </w:p>
    <w:p>
      <w:pPr>
        <w:spacing w:line="540" w:lineRule="exact"/>
        <w:jc w:val="center"/>
        <w:rPr>
          <w:rFonts w:ascii="黑体" w:hAnsi="黑体" w:eastAsia="黑体"/>
          <w:bCs/>
          <w:kern w:val="0"/>
          <w:sz w:val="32"/>
          <w:szCs w:val="32"/>
        </w:rPr>
      </w:pPr>
      <w:r>
        <w:rPr>
          <w:rFonts w:hint="eastAsia" w:ascii="黑体" w:hAnsi="黑体" w:eastAsia="黑体"/>
          <w:bCs/>
          <w:kern w:val="0"/>
          <w:sz w:val="32"/>
          <w:szCs w:val="32"/>
        </w:rPr>
        <w:t>目  录</w:t>
      </w:r>
    </w:p>
    <w:p>
      <w:pPr>
        <w:spacing w:line="540" w:lineRule="exact"/>
        <w:rPr>
          <w:rFonts w:ascii="仿宋_GB2312" w:hAnsi="宋体" w:eastAsia="仿宋_GB2312"/>
          <w:b/>
          <w:kern w:val="0"/>
          <w:sz w:val="32"/>
          <w:szCs w:val="32"/>
        </w:rPr>
      </w:pP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 部门单位概况</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机构设置情况</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 部门决算情况说明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（二）一般公共预算收支决算情况说明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40" w:lineRule="exact"/>
        <w:ind w:firstLine="640" w:firstLineChars="200"/>
        <w:rPr>
          <w:rFonts w:ascii="仿宋_GB2312" w:eastAsia="仿宋_GB2312"/>
          <w:sz w:val="32"/>
          <w:szCs w:val="32"/>
        </w:rPr>
      </w:pPr>
      <w:bookmarkStart w:id="0" w:name="OLE_LINK94"/>
      <w:bookmarkStart w:id="1" w:name="OLE_LINK95"/>
      <w:r>
        <w:rPr>
          <w:rFonts w:hint="eastAsia" w:ascii="仿宋_GB2312" w:eastAsia="仿宋_GB2312"/>
          <w:sz w:val="32"/>
          <w:szCs w:val="32"/>
        </w:rPr>
        <w:t>（一）国有资产占用情况说明</w:t>
      </w:r>
      <w:bookmarkEnd w:id="0"/>
      <w:bookmarkEnd w:id="1"/>
    </w:p>
    <w:p>
      <w:pPr>
        <w:spacing w:line="540" w:lineRule="exact"/>
        <w:ind w:firstLine="640" w:firstLineChars="200"/>
        <w:rPr>
          <w:rFonts w:ascii="仿宋_GB2312" w:eastAsia="仿宋_GB2312"/>
          <w:sz w:val="32"/>
          <w:szCs w:val="32"/>
        </w:rPr>
      </w:pPr>
      <w:bookmarkStart w:id="2" w:name="OLE_LINK96"/>
      <w:r>
        <w:rPr>
          <w:rFonts w:hint="eastAsia" w:ascii="仿宋_GB2312" w:eastAsia="仿宋_GB2312"/>
          <w:sz w:val="32"/>
          <w:szCs w:val="32"/>
        </w:rPr>
        <w:t>（二）预算绩效情况的说明</w:t>
      </w:r>
      <w:bookmarkEnd w:id="2"/>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 专业名词解释</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 部</w:t>
      </w:r>
      <w:r>
        <w:rPr>
          <w:rFonts w:hint="eastAsia" w:ascii="黑体" w:hAnsi="黑体" w:eastAsia="黑体"/>
          <w:sz w:val="32"/>
          <w:szCs w:val="32"/>
        </w:rPr>
        <w:t>门决算公开的8张报表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《一般公共预算财政拨款“三公”经费支出决算表》</w:t>
      </w:r>
    </w:p>
    <w:p>
      <w:pPr>
        <w:spacing w:line="540" w:lineRule="exact"/>
        <w:ind w:firstLine="640" w:firstLineChars="200"/>
        <w:rPr>
          <w:rFonts w:ascii="仿宋_GB2312" w:hAnsi="宋体" w:eastAsia="仿宋_GB2312"/>
          <w:sz w:val="32"/>
          <w:szCs w:val="32"/>
        </w:rPr>
      </w:pPr>
      <w:r>
        <w:rPr>
          <w:rFonts w:hint="eastAsia" w:ascii="仿宋_GB2312" w:eastAsia="仿宋_GB2312"/>
          <w:sz w:val="32"/>
          <w:szCs w:val="32"/>
        </w:rPr>
        <w:t>《政府性基金预算财政拨款收入支出决算表》</w:t>
      </w:r>
    </w:p>
    <w:p>
      <w:pPr>
        <w:spacing w:line="540" w:lineRule="exact"/>
        <w:ind w:firstLine="640" w:firstLineChars="200"/>
        <w:rPr>
          <w:rFonts w:ascii="黑体" w:hAnsi="黑体" w:eastAsia="黑体"/>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第一部分 部门单位概况</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spacing w:line="500" w:lineRule="exact"/>
        <w:rPr>
          <w:rFonts w:ascii="黑体" w:hAnsi="黑体" w:eastAsia="黑体" w:cs="宋体"/>
          <w:bCs/>
          <w:kern w:val="0"/>
          <w:sz w:val="32"/>
          <w:szCs w:val="32"/>
        </w:rPr>
      </w:pPr>
      <w:r>
        <w:rPr>
          <w:rFonts w:hint="eastAsia" w:ascii="仿宋_GB2312" w:eastAsia="仿宋_GB2312"/>
          <w:sz w:val="32"/>
          <w:szCs w:val="32"/>
        </w:rPr>
        <w:t xml:space="preserve">    1、贯彻执行国家有关食品（含食品添加剂、保健食品，下同）安全、药品（含中药、民族药，下同）、医疗器械、化妆品监督管理的方针政策和法律法规；负责本部门依法行政工作，落实行政执法责任制；制定全县食品安全、药品、医疗器械、化妆品监督管理规划，推动建立落实食品、药品、医疗器械、化妆品安全企业主体责任和县、乡镇人民政府分级负责机制，建立食品药品重大信息直报制度，并组织实施和监督检查，着力防范区域性、系统性食品药品安全风险。</w:t>
      </w:r>
      <w:r>
        <w:rPr>
          <w:rFonts w:hint="eastAsia" w:ascii="仿宋_GB2312" w:eastAsia="仿宋_GB2312"/>
          <w:sz w:val="32"/>
          <w:szCs w:val="32"/>
        </w:rPr>
        <w:br w:type="textWrapping"/>
      </w:r>
      <w:r>
        <w:rPr>
          <w:rFonts w:hint="eastAsia" w:ascii="仿宋_GB2312" w:eastAsia="仿宋_GB2312"/>
          <w:sz w:val="32"/>
          <w:szCs w:val="32"/>
        </w:rPr>
        <w:t xml:space="preserve">    2、负责全县食品药品行政审批的监督实施。建立食品药品安全隐患排查治理机制，制定全县食品药品安全检查年度计划、重大整顿治理方案并组织落实。负责建立食品药品安全信息统一公布制度，公布食品药品安全信息。</w:t>
      </w:r>
      <w:r>
        <w:rPr>
          <w:rFonts w:hint="eastAsia" w:ascii="仿宋_GB2312" w:eastAsia="仿宋_GB2312"/>
          <w:sz w:val="32"/>
          <w:szCs w:val="32"/>
        </w:rPr>
        <w:br w:type="textWrapping"/>
      </w:r>
      <w:r>
        <w:rPr>
          <w:rFonts w:hint="eastAsia" w:ascii="仿宋_GB2312" w:eastAsia="仿宋_GB2312"/>
          <w:sz w:val="32"/>
          <w:szCs w:val="32"/>
        </w:rPr>
        <w:t xml:space="preserve">    3、监督实施全县药品和医疗器械的标准、分类管理制度，监督实施药品和医疗器械的经营、使用等质量管理规范。监督实施医疗机构制剂生产（配制）质量管理规范，监督检查药品和医疗器械的注册工作。监督实施化妆品监督管理办法。配合相关部门实施国家基本药物制度。</w:t>
      </w:r>
      <w:r>
        <w:rPr>
          <w:rFonts w:hint="eastAsia" w:ascii="仿宋_GB2312" w:eastAsia="仿宋_GB2312"/>
          <w:sz w:val="32"/>
          <w:szCs w:val="32"/>
        </w:rPr>
        <w:br w:type="textWrapping"/>
      </w:r>
      <w:r>
        <w:rPr>
          <w:rFonts w:hint="eastAsia" w:ascii="仿宋_GB2312" w:eastAsia="仿宋_GB2312"/>
          <w:sz w:val="32"/>
          <w:szCs w:val="32"/>
        </w:rPr>
        <w:t xml:space="preserve">    4、组织实施食品、药品、医疗器械、化妆品监督管理稽查制度，组织查处违法行为。负责不安全食品和存在安全隐患的药品、医疗器械、化妆品召回的监督管理。依法监测食品、药品、医疗器械、化妆品广告内容。 </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二、机构设置情况</w:t>
      </w:r>
    </w:p>
    <w:p>
      <w:pPr>
        <w:spacing w:line="540" w:lineRule="exact"/>
        <w:ind w:firstLine="640" w:firstLineChars="200"/>
        <w:rPr>
          <w:rFonts w:ascii="仿宋_GB2312" w:hAnsi="宋体" w:eastAsia="仿宋_GB2312" w:cs="宋体"/>
          <w:kern w:val="0"/>
          <w:sz w:val="32"/>
          <w:szCs w:val="32"/>
        </w:rPr>
      </w:pPr>
      <w:bookmarkStart w:id="3" w:name="OLE_LINK51"/>
      <w:r>
        <w:rPr>
          <w:rFonts w:hint="eastAsia" w:ascii="仿宋_GB2312" w:eastAsia="仿宋_GB2312"/>
          <w:sz w:val="32"/>
          <w:szCs w:val="32"/>
        </w:rPr>
        <w:t>从决算单位构成看，</w:t>
      </w:r>
      <w:r>
        <w:rPr>
          <w:rFonts w:ascii="仿宋_GB2312" w:eastAsia="仿宋_GB2312"/>
          <w:sz w:val="32"/>
          <w:szCs w:val="32"/>
        </w:rPr>
        <w:t>新疆喀什地区英吉沙县食品药品监督管理局</w:t>
      </w:r>
      <w:r>
        <w:rPr>
          <w:rFonts w:hint="eastAsia" w:ascii="仿宋_GB2312" w:eastAsia="仿宋_GB2312"/>
          <w:sz w:val="32"/>
          <w:szCs w:val="32"/>
        </w:rPr>
        <w:t>部门决算包括：</w:t>
      </w:r>
      <w:r>
        <w:rPr>
          <w:rFonts w:ascii="仿宋_GB2312" w:eastAsia="仿宋_GB2312"/>
          <w:sz w:val="32"/>
          <w:szCs w:val="32"/>
        </w:rPr>
        <w:t>新疆喀什地区英吉沙县食品药品监督管理局</w:t>
      </w:r>
      <w:r>
        <w:rPr>
          <w:rFonts w:hint="eastAsia" w:ascii="仿宋_GB2312" w:eastAsia="仿宋_GB2312"/>
          <w:sz w:val="32"/>
          <w:szCs w:val="32"/>
        </w:rPr>
        <w:t>部门本级决算、所属单位决算等。</w:t>
      </w:r>
    </w:p>
    <w:p>
      <w:pPr>
        <w:spacing w:line="540" w:lineRule="exact"/>
        <w:ind w:firstLine="640" w:firstLineChars="200"/>
        <w:rPr>
          <w:rFonts w:ascii="仿宋_GB2312" w:eastAsia="仿宋_GB2312"/>
          <w:spacing w:val="-6"/>
          <w:sz w:val="32"/>
          <w:szCs w:val="32"/>
        </w:rPr>
      </w:pPr>
      <w:r>
        <w:rPr>
          <w:rFonts w:hint="eastAsia" w:ascii="仿宋_GB2312" w:eastAsia="仿宋_GB2312"/>
          <w:sz w:val="32"/>
          <w:szCs w:val="32"/>
        </w:rPr>
        <w:t>纳入</w:t>
      </w:r>
      <w:r>
        <w:rPr>
          <w:rFonts w:ascii="仿宋_GB2312" w:eastAsia="仿宋_GB2312"/>
          <w:sz w:val="32"/>
          <w:szCs w:val="32"/>
        </w:rPr>
        <w:t>新疆喀什地区英吉沙县食品药品监督管理局</w:t>
      </w:r>
      <w:r>
        <w:rPr>
          <w:rFonts w:hint="eastAsia" w:ascii="仿宋_GB2312" w:eastAsia="仿宋_GB2312"/>
          <w:sz w:val="32"/>
          <w:szCs w:val="32"/>
        </w:rPr>
        <w:t>2018年部门决算编制范围的单位名单见下表</w:t>
      </w:r>
      <w:r>
        <w:rPr>
          <w:rFonts w:hint="eastAsia" w:ascii="仿宋_GB2312" w:eastAsia="仿宋_GB2312"/>
          <w:spacing w:val="-6"/>
          <w:sz w:val="32"/>
          <w:szCs w:val="32"/>
        </w:rPr>
        <w:t>：</w:t>
      </w:r>
      <w:bookmarkEnd w:id="3"/>
    </w:p>
    <w:p>
      <w:pPr>
        <w:spacing w:line="540" w:lineRule="exact"/>
        <w:ind w:firstLine="616" w:firstLineChars="200"/>
        <w:rPr>
          <w:rFonts w:ascii="仿宋_GB2312" w:eastAsia="仿宋_GB2312"/>
          <w:spacing w:val="-6"/>
          <w:sz w:val="32"/>
          <w:szCs w:val="32"/>
        </w:rPr>
      </w:pPr>
    </w:p>
    <w:p>
      <w:pPr>
        <w:spacing w:line="540" w:lineRule="exact"/>
        <w:ind w:firstLine="616" w:firstLineChars="200"/>
        <w:rPr>
          <w:rFonts w:ascii="仿宋_GB2312" w:eastAsia="仿宋_GB2312"/>
          <w:spacing w:val="-6"/>
          <w:sz w:val="32"/>
          <w:szCs w:val="32"/>
        </w:rPr>
      </w:pPr>
    </w:p>
    <w:tbl>
      <w:tblPr>
        <w:tblStyle w:val="7"/>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56"/>
        <w:gridCol w:w="3870"/>
        <w:gridCol w:w="2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3056"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序号</w:t>
            </w:r>
          </w:p>
        </w:tc>
        <w:tc>
          <w:tcPr>
            <w:tcW w:w="3870"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单位名称</w:t>
            </w:r>
          </w:p>
        </w:tc>
        <w:tc>
          <w:tcPr>
            <w:tcW w:w="2538" w:type="dxa"/>
            <w:vAlign w:val="center"/>
          </w:tcPr>
          <w:p>
            <w:pPr>
              <w:spacing w:line="500" w:lineRule="exact"/>
              <w:ind w:firstLine="1280" w:firstLineChars="400"/>
              <w:rPr>
                <w:rFonts w:ascii="仿宋_GB2312" w:eastAsia="仿宋_GB2312"/>
                <w:color w:val="000000" w:themeColor="text1"/>
                <w:sz w:val="32"/>
                <w:szCs w:val="32"/>
                <w:highlight w:val="yellow"/>
              </w:rPr>
            </w:pPr>
            <w:r>
              <w:rPr>
                <w:rFonts w:hint="eastAsia" w:ascii="仿宋_GB2312" w:eastAsia="仿宋_GB2312"/>
                <w:color w:val="000000" w:themeColor="text1"/>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6"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000000"/>
                <w:position w:val="-1"/>
                <w:sz w:val="32"/>
                <w:u w:val="none"/>
              </w:rPr>
              <w:t>1</w:t>
            </w:r>
          </w:p>
        </w:tc>
        <w:tc>
          <w:tcPr>
            <w:tcW w:w="3870"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000000"/>
                <w:position w:val="-1"/>
                <w:sz w:val="32"/>
                <w:u w:val="none"/>
              </w:rPr>
              <w:t>新疆喀什地区英吉沙县食品药品监督管理局</w:t>
            </w:r>
          </w:p>
        </w:tc>
        <w:tc>
          <w:tcPr>
            <w:tcW w:w="2538" w:type="dxa"/>
            <w:vAlign w:val="center"/>
          </w:tcPr>
          <w:p>
            <w:pPr>
              <w:pageBreakBefore w:val="0"/>
              <w:spacing w:line="500" w:lineRule="exact"/>
              <w:ind w:firstLine="420" w:firstLineChars="200"/>
              <w:jc w:val="left"/>
              <w:textAlignment w:val="auto"/>
            </w:pPr>
          </w:p>
        </w:tc>
      </w:tr>
    </w:tbl>
    <w:p>
      <w:pPr>
        <w:spacing w:line="500" w:lineRule="exact"/>
        <w:rPr>
          <w:rFonts w:ascii="仿宋_GB2312" w:hAnsi="宋体" w:eastAsia="仿宋_GB2312" w:cs="宋体"/>
          <w:kern w:val="0"/>
          <w:sz w:val="32"/>
          <w:szCs w:val="32"/>
        </w:rPr>
      </w:pPr>
    </w:p>
    <w:p>
      <w:pPr>
        <w:spacing w:line="500" w:lineRule="exact"/>
        <w:rPr>
          <w:rFonts w:ascii="仿宋_GB2312" w:hAnsi="宋体" w:eastAsia="仿宋_GB2312" w:cs="宋体"/>
          <w:kern w:val="0"/>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第二部分 部门决算情况说明</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一、部门收支总体情况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（一）部门收入支出决算总体情况说明</w:t>
      </w:r>
    </w:p>
    <w:p>
      <w:pPr>
        <w:spacing w:line="540" w:lineRule="exact"/>
        <w:ind w:firstLine="640" w:firstLineChars="200"/>
        <w:rPr>
          <w:rFonts w:ascii="仿宋_GB2312" w:hAnsi="Calibri" w:eastAsia="仿宋_GB2312"/>
          <w:color w:val="000000" w:themeColor="text1"/>
          <w:sz w:val="32"/>
          <w:szCs w:val="32"/>
          <w:lang w:val="en-GB"/>
        </w:rPr>
      </w:pPr>
      <w:bookmarkStart w:id="4" w:name="OLE_LINK100"/>
      <w:bookmarkStart w:id="5" w:name="OLE_LINK99"/>
      <w:bookmarkStart w:id="6" w:name="OLE_LINK52"/>
      <w:r>
        <w:rPr>
          <w:rFonts w:hint="eastAsia" w:ascii="仿宋_GB2312" w:eastAsia="仿宋_GB2312"/>
          <w:color w:val="000000" w:themeColor="text1"/>
          <w:sz w:val="32"/>
          <w:szCs w:val="32"/>
        </w:rPr>
        <w:t>2018年度收入</w:t>
      </w:r>
      <w:r>
        <w:rPr>
          <w:rFonts w:hint="eastAsia" w:ascii="仿宋_GB2312" w:eastAsia="仿宋_GB2312"/>
          <w:sz w:val="32"/>
          <w:szCs w:val="32"/>
        </w:rPr>
        <w:t>198.5</w:t>
      </w:r>
      <w:r>
        <w:rPr>
          <w:rFonts w:hint="eastAsia" w:ascii="仿宋_GB2312" w:eastAsia="仿宋_GB2312"/>
          <w:color w:val="000000" w:themeColor="text1"/>
          <w:sz w:val="32"/>
          <w:szCs w:val="32"/>
        </w:rPr>
        <w:t>万元</w:t>
      </w:r>
      <w:bookmarkEnd w:id="4"/>
      <w:bookmarkEnd w:id="5"/>
      <w:r>
        <w:rPr>
          <w:rFonts w:hint="eastAsia" w:ascii="仿宋_GB2312" w:eastAsia="仿宋_GB2312"/>
          <w:sz w:val="32"/>
          <w:szCs w:val="32"/>
        </w:rPr>
        <w:t>，与上年相比，增加32.68万元，增长19.71%，增加的主要原因是：</w:t>
      </w:r>
      <w:r>
        <w:rPr>
          <w:rFonts w:hint="eastAsia" w:ascii="仿宋_GB2312" w:eastAsia="仿宋_GB2312"/>
          <w:color w:val="000000" w:themeColor="text1"/>
          <w:sz w:val="32"/>
          <w:szCs w:val="32"/>
        </w:rPr>
        <w:t>本年增加食品抽检设备、食品抽检化验项目资金，工资增资；</w:t>
      </w:r>
      <w:bookmarkEnd w:id="6"/>
      <w:bookmarkStart w:id="7" w:name="OLE_LINK53"/>
      <w:r>
        <w:rPr>
          <w:rFonts w:hint="eastAsia" w:ascii="仿宋_GB2312" w:eastAsia="仿宋_GB2312"/>
          <w:color w:val="000000" w:themeColor="text1"/>
          <w:sz w:val="32"/>
          <w:szCs w:val="32"/>
        </w:rPr>
        <w:t>支出</w:t>
      </w:r>
      <w:r>
        <w:rPr>
          <w:rFonts w:hint="eastAsia" w:ascii="仿宋_GB2312" w:eastAsia="仿宋_GB2312"/>
          <w:sz w:val="32"/>
          <w:szCs w:val="32"/>
        </w:rPr>
        <w:t>198.5</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，与上年相比，增加32.68万元，增长19.71%，增加的主要原因是：</w:t>
      </w:r>
      <w:r>
        <w:rPr>
          <w:rFonts w:hint="eastAsia" w:ascii="仿宋_GB2312" w:eastAsia="仿宋_GB2312"/>
          <w:color w:val="000000" w:themeColor="text1"/>
          <w:sz w:val="32"/>
          <w:szCs w:val="32"/>
        </w:rPr>
        <w:t>本年增加食品抽检设备、食品抽检化验项目资金，工资增资；</w:t>
      </w:r>
      <w:bookmarkEnd w:id="7"/>
      <w:bookmarkStart w:id="8" w:name="OLE_LINK54"/>
      <w:r>
        <w:rPr>
          <w:rFonts w:hint="eastAsia" w:ascii="仿宋_GB2312" w:eastAsia="仿宋_GB2312"/>
          <w:color w:val="000000" w:themeColor="text1"/>
          <w:sz w:val="32"/>
          <w:szCs w:val="32"/>
        </w:rPr>
        <w:t>结余</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%，主要原因是：</w:t>
      </w:r>
      <w:r>
        <w:rPr>
          <w:rFonts w:ascii="仿宋_GB2312" w:eastAsia="仿宋_GB2312"/>
          <w:color w:val="000000" w:themeColor="text1"/>
          <w:sz w:val="32"/>
          <w:szCs w:val="32"/>
        </w:rPr>
        <w:t>本年项目实施到位，年末无结余。</w:t>
      </w:r>
      <w:bookmarkEnd w:id="8"/>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（二）部门收入总体情况说明</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本年收入合计</w:t>
      </w:r>
      <w:r>
        <w:rPr>
          <w:rFonts w:hint="eastAsia" w:ascii="仿宋_GB2312" w:eastAsia="仿宋_GB2312"/>
          <w:sz w:val="32"/>
          <w:szCs w:val="32"/>
        </w:rPr>
        <w:t>198.5</w:t>
      </w:r>
      <w:r>
        <w:rPr>
          <w:rFonts w:hint="eastAsia" w:ascii="仿宋_GB2312" w:eastAsia="仿宋_GB2312"/>
          <w:color w:val="000000" w:themeColor="text1"/>
          <w:sz w:val="32"/>
          <w:szCs w:val="32"/>
        </w:rPr>
        <w:t>万元，其中：</w:t>
      </w:r>
      <w:bookmarkStart w:id="9" w:name="OLE_LINK1"/>
      <w:r>
        <w:rPr>
          <w:rFonts w:hint="eastAsia" w:ascii="仿宋_GB2312" w:eastAsia="仿宋_GB2312"/>
          <w:color w:val="000000" w:themeColor="text1"/>
          <w:sz w:val="32"/>
          <w:szCs w:val="32"/>
        </w:rPr>
        <w:t>财政拨款收入</w:t>
      </w:r>
      <w:bookmarkEnd w:id="9"/>
      <w:r>
        <w:rPr>
          <w:rFonts w:hint="eastAsia" w:ascii="仿宋_GB2312" w:eastAsia="仿宋_GB2312"/>
          <w:sz w:val="32"/>
          <w:szCs w:val="32"/>
        </w:rPr>
        <w:t>198.5</w:t>
      </w:r>
      <w:r>
        <w:rPr>
          <w:rFonts w:hint="eastAsia" w:ascii="仿宋_GB2312" w:eastAsia="仿宋_GB2312"/>
          <w:color w:val="000000" w:themeColor="text1"/>
          <w:sz w:val="32"/>
          <w:szCs w:val="32"/>
        </w:rPr>
        <w:t>万元，占</w:t>
      </w:r>
      <w:r>
        <w:rPr>
          <w:rFonts w:hint="eastAsia" w:ascii="仿宋_GB2312" w:eastAsia="仿宋_GB2312"/>
          <w:sz w:val="32"/>
          <w:szCs w:val="32"/>
        </w:rPr>
        <w:t>100%</w:t>
      </w:r>
      <w:r>
        <w:rPr>
          <w:rFonts w:hint="eastAsia" w:ascii="仿宋_GB2312" w:eastAsia="仿宋_GB2312"/>
          <w:color w:val="000000" w:themeColor="text1"/>
          <w:sz w:val="32"/>
          <w:szCs w:val="32"/>
        </w:rPr>
        <w:t>；</w:t>
      </w:r>
      <w:bookmarkStart w:id="10" w:name="OLE_LINK2"/>
      <w:r>
        <w:rPr>
          <w:rFonts w:hint="eastAsia" w:ascii="仿宋_GB2312" w:eastAsia="仿宋_GB2312"/>
          <w:color w:val="000000" w:themeColor="text1"/>
          <w:sz w:val="32"/>
          <w:szCs w:val="32"/>
        </w:rPr>
        <w:t>上级补助收入</w:t>
      </w:r>
      <w:bookmarkEnd w:id="10"/>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1" w:name="OLE_LINK3"/>
      <w:r>
        <w:rPr>
          <w:rFonts w:hint="eastAsia" w:ascii="仿宋_GB2312" w:eastAsia="仿宋_GB2312"/>
          <w:color w:val="000000" w:themeColor="text1"/>
          <w:sz w:val="32"/>
          <w:szCs w:val="32"/>
        </w:rPr>
        <w:t>事业收入</w:t>
      </w:r>
      <w:bookmarkEnd w:id="11"/>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2" w:name="OLE_LINK4"/>
      <w:r>
        <w:rPr>
          <w:rFonts w:hint="eastAsia" w:ascii="仿宋_GB2312" w:eastAsia="仿宋_GB2312"/>
          <w:color w:val="000000" w:themeColor="text1"/>
          <w:sz w:val="32"/>
          <w:szCs w:val="32"/>
        </w:rPr>
        <w:t>经营收入</w:t>
      </w:r>
      <w:bookmarkEnd w:id="1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3" w:name="OLE_LINK5"/>
      <w:r>
        <w:rPr>
          <w:rFonts w:hint="eastAsia" w:ascii="仿宋_GB2312" w:eastAsia="仿宋_GB2312"/>
          <w:color w:val="000000" w:themeColor="text1"/>
          <w:sz w:val="32"/>
          <w:szCs w:val="32"/>
        </w:rPr>
        <w:t>附属单位缴款</w:t>
      </w:r>
      <w:bookmarkEnd w:id="13"/>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4" w:name="OLE_LINK6"/>
      <w:r>
        <w:rPr>
          <w:rFonts w:hint="eastAsia" w:ascii="仿宋_GB2312" w:eastAsia="仿宋_GB2312"/>
          <w:color w:val="000000" w:themeColor="text1"/>
          <w:sz w:val="32"/>
          <w:szCs w:val="32"/>
        </w:rPr>
        <w:t>其他收入</w:t>
      </w:r>
      <w:bookmarkEnd w:id="14"/>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bookmarkStart w:id="15" w:name="OLE_LINK55"/>
      <w:r>
        <w:rPr>
          <w:rFonts w:hint="eastAsia" w:ascii="仿宋_GB2312" w:eastAsia="仿宋_GB2312"/>
          <w:sz w:val="32"/>
          <w:szCs w:val="32"/>
        </w:rPr>
        <w:t>与年初预算数相比情</w:t>
      </w:r>
      <w:r>
        <w:rPr>
          <w:rFonts w:hint="eastAsia" w:ascii="仿宋_GB2312" w:eastAsia="仿宋_GB2312"/>
          <w:color w:val="000000" w:themeColor="text1"/>
          <w:sz w:val="32"/>
          <w:szCs w:val="32"/>
        </w:rPr>
        <w:t>况：本年收入年初预算数165.82万元</w:t>
      </w:r>
      <w:r>
        <w:rPr>
          <w:rFonts w:hint="eastAsia" w:ascii="仿宋_GB2312" w:eastAsia="仿宋_GB2312"/>
          <w:sz w:val="32"/>
          <w:szCs w:val="32"/>
        </w:rPr>
        <w:t>，决算数198.5万元</w:t>
      </w:r>
      <w:r>
        <w:rPr>
          <w:rFonts w:ascii="仿宋_GB2312" w:eastAsia="仿宋_GB2312"/>
          <w:sz w:val="32"/>
          <w:szCs w:val="32"/>
        </w:rPr>
        <w:t>，预决算差异率19.71%，差异主要原因是本年增加食品抽检设备、食品抽检化验项目，预算未安排。</w:t>
      </w:r>
      <w:bookmarkEnd w:id="15"/>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（三）部门支出总体情况说明</w:t>
      </w:r>
    </w:p>
    <w:p>
      <w:pPr>
        <w:spacing w:line="540" w:lineRule="exact"/>
        <w:ind w:firstLine="640" w:firstLineChars="200"/>
        <w:rPr>
          <w:rFonts w:ascii="仿宋_GB2312" w:eastAsia="仿宋_GB2312"/>
          <w:color w:val="000000" w:themeColor="text1"/>
          <w:spacing w:val="-6"/>
          <w:sz w:val="32"/>
          <w:szCs w:val="32"/>
        </w:rPr>
      </w:pPr>
      <w:bookmarkStart w:id="16" w:name="OLE_LINK7"/>
      <w:r>
        <w:rPr>
          <w:rFonts w:hint="eastAsia" w:ascii="仿宋_GB2312" w:eastAsia="仿宋_GB2312"/>
          <w:color w:val="000000" w:themeColor="text1"/>
          <w:sz w:val="32"/>
          <w:szCs w:val="32"/>
        </w:rPr>
        <w:t>本年支出合计</w:t>
      </w:r>
      <w:bookmarkEnd w:id="16"/>
      <w:r>
        <w:rPr>
          <w:rFonts w:hint="eastAsia" w:ascii="仿宋_GB2312" w:eastAsia="仿宋_GB2312"/>
          <w:sz w:val="32"/>
          <w:szCs w:val="32"/>
        </w:rPr>
        <w:t>198.5</w:t>
      </w:r>
      <w:r>
        <w:rPr>
          <w:rFonts w:hint="eastAsia" w:ascii="仿宋_GB2312" w:eastAsia="仿宋_GB2312"/>
          <w:color w:val="000000" w:themeColor="text1"/>
          <w:sz w:val="32"/>
          <w:szCs w:val="32"/>
        </w:rPr>
        <w:t>万元，其中：</w:t>
      </w:r>
      <w:bookmarkStart w:id="17" w:name="OLE_LINK8"/>
      <w:r>
        <w:rPr>
          <w:rFonts w:hint="eastAsia" w:ascii="仿宋_GB2312" w:eastAsia="仿宋_GB2312"/>
          <w:color w:val="000000" w:themeColor="text1"/>
          <w:sz w:val="32"/>
          <w:szCs w:val="32"/>
        </w:rPr>
        <w:t>基本支出</w:t>
      </w:r>
      <w:bookmarkEnd w:id="17"/>
      <w:r>
        <w:rPr>
          <w:rFonts w:hint="eastAsia" w:ascii="仿宋_GB2312" w:eastAsia="仿宋_GB2312"/>
          <w:sz w:val="32"/>
          <w:szCs w:val="32"/>
        </w:rPr>
        <w:t>165.1</w:t>
      </w:r>
      <w:r>
        <w:rPr>
          <w:rFonts w:hint="eastAsia" w:ascii="仿宋_GB2312" w:eastAsia="仿宋_GB2312"/>
          <w:color w:val="000000" w:themeColor="text1"/>
          <w:sz w:val="32"/>
          <w:szCs w:val="32"/>
        </w:rPr>
        <w:t>万元，占</w:t>
      </w:r>
      <w:r>
        <w:rPr>
          <w:rFonts w:hint="eastAsia" w:ascii="仿宋_GB2312" w:eastAsia="仿宋_GB2312"/>
          <w:sz w:val="32"/>
          <w:szCs w:val="32"/>
        </w:rPr>
        <w:t>83.17%</w:t>
      </w:r>
      <w:r>
        <w:rPr>
          <w:rFonts w:hint="eastAsia" w:ascii="仿宋_GB2312" w:eastAsia="仿宋_GB2312"/>
          <w:color w:val="000000" w:themeColor="text1"/>
          <w:sz w:val="32"/>
          <w:szCs w:val="32"/>
        </w:rPr>
        <w:t>；</w:t>
      </w:r>
      <w:bookmarkStart w:id="18" w:name="OLE_LINK9"/>
      <w:r>
        <w:rPr>
          <w:rFonts w:hint="eastAsia" w:ascii="仿宋_GB2312" w:eastAsia="仿宋_GB2312"/>
          <w:color w:val="000000" w:themeColor="text1"/>
          <w:sz w:val="32"/>
          <w:szCs w:val="32"/>
        </w:rPr>
        <w:t>项目支出</w:t>
      </w:r>
      <w:bookmarkEnd w:id="18"/>
      <w:r>
        <w:rPr>
          <w:rFonts w:hint="eastAsia" w:ascii="仿宋_GB2312" w:eastAsia="仿宋_GB2312"/>
          <w:sz w:val="32"/>
          <w:szCs w:val="32"/>
        </w:rPr>
        <w:t>33.4</w:t>
      </w:r>
      <w:r>
        <w:rPr>
          <w:rFonts w:hint="eastAsia" w:ascii="仿宋_GB2312" w:eastAsia="仿宋_GB2312"/>
          <w:color w:val="000000" w:themeColor="text1"/>
          <w:sz w:val="32"/>
          <w:szCs w:val="32"/>
        </w:rPr>
        <w:t>万元，占</w:t>
      </w:r>
      <w:r>
        <w:rPr>
          <w:rFonts w:hint="eastAsia" w:ascii="仿宋_GB2312" w:eastAsia="仿宋_GB2312"/>
          <w:sz w:val="32"/>
          <w:szCs w:val="32"/>
        </w:rPr>
        <w:t>16.83%</w:t>
      </w:r>
      <w:r>
        <w:rPr>
          <w:rFonts w:hint="eastAsia" w:ascii="仿宋_GB2312" w:eastAsia="仿宋_GB2312"/>
          <w:color w:val="000000" w:themeColor="text1"/>
          <w:sz w:val="32"/>
          <w:szCs w:val="32"/>
        </w:rPr>
        <w:t>；</w:t>
      </w:r>
      <w:bookmarkStart w:id="19" w:name="OLE_LINK10"/>
      <w:r>
        <w:rPr>
          <w:rFonts w:hint="eastAsia" w:ascii="仿宋_GB2312" w:eastAsia="仿宋_GB2312"/>
          <w:color w:val="000000" w:themeColor="text1"/>
          <w:sz w:val="32"/>
          <w:szCs w:val="32"/>
        </w:rPr>
        <w:t>上缴上级支出</w:t>
      </w:r>
      <w:bookmarkEnd w:id="1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20" w:name="OLE_LINK11"/>
      <w:r>
        <w:rPr>
          <w:rFonts w:hint="eastAsia" w:ascii="仿宋_GB2312" w:eastAsia="仿宋_GB2312"/>
          <w:color w:val="000000" w:themeColor="text1"/>
          <w:spacing w:val="-6"/>
          <w:sz w:val="32"/>
          <w:szCs w:val="32"/>
        </w:rPr>
        <w:t>经营支出</w:t>
      </w:r>
      <w:bookmarkEnd w:id="20"/>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color w:val="000000" w:themeColor="text1"/>
          <w:spacing w:val="-6"/>
          <w:sz w:val="32"/>
          <w:szCs w:val="32"/>
        </w:rPr>
        <w:t>；</w:t>
      </w:r>
      <w:bookmarkStart w:id="21" w:name="OLE_LINK12"/>
      <w:r>
        <w:rPr>
          <w:rFonts w:hint="eastAsia" w:ascii="仿宋_GB2312" w:eastAsia="仿宋_GB2312"/>
          <w:color w:val="000000" w:themeColor="text1"/>
          <w:spacing w:val="-6"/>
          <w:sz w:val="32"/>
          <w:szCs w:val="32"/>
        </w:rPr>
        <w:t>对附属单位补助支出</w:t>
      </w:r>
      <w:bookmarkEnd w:id="21"/>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p>
    <w:p>
      <w:pPr>
        <w:spacing w:line="540" w:lineRule="exact"/>
        <w:ind w:firstLine="640" w:firstLineChars="200"/>
        <w:rPr>
          <w:rFonts w:ascii="仿宋_GB2312" w:eastAsia="仿宋_GB2312"/>
          <w:sz w:val="32"/>
          <w:szCs w:val="32"/>
        </w:rPr>
      </w:pPr>
      <w:bookmarkStart w:id="22" w:name="OLE_LINK56"/>
      <w:r>
        <w:rPr>
          <w:rFonts w:hint="eastAsia" w:ascii="仿宋_GB2312" w:eastAsia="仿宋_GB2312"/>
          <w:color w:val="000000" w:themeColor="text1"/>
          <w:sz w:val="32"/>
          <w:szCs w:val="32"/>
        </w:rPr>
        <w:t>与年初预算数相比情况：本年支出年初预算数165.82万元，</w:t>
      </w:r>
      <w:r>
        <w:rPr>
          <w:rFonts w:hint="eastAsia" w:ascii="仿宋_GB2312" w:eastAsia="仿宋_GB2312"/>
          <w:sz w:val="32"/>
          <w:szCs w:val="32"/>
        </w:rPr>
        <w:t>决算数198.5万元</w:t>
      </w:r>
      <w:r>
        <w:rPr>
          <w:rFonts w:ascii="仿宋_GB2312" w:eastAsia="仿宋_GB2312"/>
          <w:sz w:val="32"/>
          <w:szCs w:val="32"/>
        </w:rPr>
        <w:t>，预决算差异率19.71%，差异主要原因是本年增加食品抽检设备、食品抽检化验项目，预算未安排。</w:t>
      </w:r>
    </w:p>
    <w:bookmarkEnd w:id="22"/>
    <w:p>
      <w:pPr>
        <w:spacing w:line="540" w:lineRule="exact"/>
        <w:ind w:firstLine="640" w:firstLineChars="200"/>
        <w:rPr>
          <w:rFonts w:ascii="黑体" w:hAnsi="黑体" w:eastAsia="黑体"/>
          <w:sz w:val="32"/>
          <w:szCs w:val="32"/>
        </w:rPr>
      </w:pPr>
      <w:r>
        <w:rPr>
          <w:rFonts w:hint="eastAsia" w:ascii="黑体" w:hAnsi="黑体" w:eastAsia="黑体"/>
          <w:sz w:val="32"/>
          <w:szCs w:val="32"/>
        </w:rPr>
        <w:t>二、部门财政拨款收支情况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（一）财政拨款收支总体情况说明</w:t>
      </w:r>
    </w:p>
    <w:p>
      <w:pPr>
        <w:spacing w:line="540" w:lineRule="exact"/>
        <w:ind w:firstLine="640" w:firstLineChars="200"/>
        <w:rPr>
          <w:rFonts w:ascii="仿宋_GB2312" w:eastAsia="仿宋_GB2312"/>
          <w:color w:val="000000" w:themeColor="text1"/>
          <w:sz w:val="32"/>
          <w:szCs w:val="32"/>
        </w:rPr>
      </w:pPr>
      <w:bookmarkStart w:id="23" w:name="OLE_LINK58"/>
      <w:bookmarkStart w:id="24" w:name="OLE_LINK57"/>
      <w:r>
        <w:rPr>
          <w:rFonts w:hint="eastAsia" w:ascii="仿宋_GB2312" w:eastAsia="仿宋_GB2312"/>
          <w:color w:val="000000" w:themeColor="text1"/>
          <w:sz w:val="32"/>
          <w:szCs w:val="32"/>
        </w:rPr>
        <w:t>2018年度</w:t>
      </w:r>
      <w:bookmarkStart w:id="25" w:name="OLE_LINK13"/>
      <w:r>
        <w:rPr>
          <w:rFonts w:hint="eastAsia" w:ascii="仿宋_GB2312" w:eastAsia="仿宋_GB2312"/>
          <w:color w:val="000000" w:themeColor="text1"/>
          <w:sz w:val="32"/>
          <w:szCs w:val="32"/>
        </w:rPr>
        <w:t>财政拨款收入</w:t>
      </w:r>
      <w:bookmarkEnd w:id="25"/>
      <w:r>
        <w:rPr>
          <w:rFonts w:hint="eastAsia" w:ascii="仿宋_GB2312" w:eastAsia="仿宋_GB2312"/>
          <w:sz w:val="32"/>
          <w:szCs w:val="32"/>
        </w:rPr>
        <w:t>198.5</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，与上年相比，增加32.68万元，增长19.71%，增加的主要原因是：本年增加食品抽检设备项目资金，工资增资。</w:t>
      </w:r>
      <w:bookmarkEnd w:id="23"/>
      <w:bookmarkEnd w:id="24"/>
      <w:bookmarkStart w:id="26" w:name="OLE_LINK14"/>
      <w:bookmarkStart w:id="27" w:name="OLE_LINK59"/>
      <w:bookmarkStart w:id="28" w:name="OLE_LINK60"/>
      <w:r>
        <w:rPr>
          <w:rFonts w:hint="eastAsia" w:ascii="仿宋_GB2312" w:eastAsia="仿宋_GB2312"/>
          <w:color w:val="000000" w:themeColor="text1"/>
          <w:sz w:val="32"/>
          <w:szCs w:val="32"/>
        </w:rPr>
        <w:t>财政拨款支出</w:t>
      </w:r>
      <w:bookmarkEnd w:id="26"/>
      <w:r>
        <w:rPr>
          <w:rFonts w:hint="eastAsia" w:ascii="仿宋_GB2312" w:eastAsia="仿宋_GB2312"/>
          <w:sz w:val="32"/>
          <w:szCs w:val="32"/>
        </w:rPr>
        <w:t>198.5</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，与上年相比，增加32.68万元，增长19.71%，增加的主要原因是：</w:t>
      </w:r>
      <w:r>
        <w:rPr>
          <w:rFonts w:ascii="仿宋_GB2312" w:eastAsia="仿宋_GB2312"/>
          <w:sz w:val="32"/>
          <w:szCs w:val="32"/>
        </w:rPr>
        <w:t>本年增加食品抽检设备项目资金，工资增资。</w:t>
      </w:r>
      <w:bookmarkEnd w:id="27"/>
      <w:bookmarkEnd w:id="28"/>
      <w:bookmarkStart w:id="29" w:name="OLE_LINK61"/>
      <w:r>
        <w:rPr>
          <w:rFonts w:hint="eastAsia" w:ascii="仿宋_GB2312" w:eastAsia="仿宋_GB2312"/>
          <w:color w:val="000000" w:themeColor="text1"/>
          <w:sz w:val="32"/>
          <w:szCs w:val="32"/>
        </w:rPr>
        <w:t>其中：</w:t>
      </w:r>
      <w:bookmarkStart w:id="30" w:name="OLE_LINK15"/>
      <w:r>
        <w:rPr>
          <w:rFonts w:hint="eastAsia" w:ascii="仿宋_GB2312" w:eastAsia="仿宋_GB2312"/>
          <w:color w:val="000000" w:themeColor="text1"/>
          <w:sz w:val="32"/>
          <w:szCs w:val="32"/>
        </w:rPr>
        <w:t>基本支出</w:t>
      </w:r>
      <w:bookmarkEnd w:id="30"/>
      <w:r>
        <w:rPr>
          <w:rFonts w:hint="eastAsia" w:ascii="仿宋_GB2312" w:eastAsia="仿宋_GB2312"/>
          <w:sz w:val="32"/>
          <w:szCs w:val="32"/>
        </w:rPr>
        <w:t>165.1</w:t>
      </w:r>
      <w:r>
        <w:rPr>
          <w:rFonts w:hint="eastAsia" w:ascii="仿宋_GB2312" w:eastAsia="仿宋_GB2312"/>
          <w:color w:val="000000" w:themeColor="text1"/>
          <w:sz w:val="32"/>
          <w:szCs w:val="32"/>
        </w:rPr>
        <w:t>万元，项目支出</w:t>
      </w:r>
      <w:r>
        <w:rPr>
          <w:rFonts w:hint="eastAsia" w:ascii="仿宋_GB2312" w:eastAsia="仿宋_GB2312"/>
          <w:sz w:val="32"/>
          <w:szCs w:val="32"/>
        </w:rPr>
        <w:t>33.4</w:t>
      </w:r>
      <w:r>
        <w:rPr>
          <w:rFonts w:hint="eastAsia" w:ascii="仿宋_GB2312" w:eastAsia="仿宋_GB2312"/>
          <w:color w:val="000000" w:themeColor="text1"/>
          <w:sz w:val="32"/>
          <w:szCs w:val="32"/>
        </w:rPr>
        <w:t>万元。</w:t>
      </w:r>
      <w:bookmarkStart w:id="31" w:name="OLE_LINK16"/>
      <w:r>
        <w:rPr>
          <w:rFonts w:hint="eastAsia" w:ascii="仿宋_GB2312" w:eastAsia="仿宋_GB2312"/>
          <w:color w:val="000000" w:themeColor="text1"/>
          <w:sz w:val="32"/>
          <w:szCs w:val="32"/>
        </w:rPr>
        <w:t>财政拨款结转结余</w:t>
      </w:r>
      <w:bookmarkEnd w:id="31"/>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%，主要原因是：本年项目实施到位，年末无结余。</w:t>
      </w:r>
      <w:bookmarkEnd w:id="29"/>
    </w:p>
    <w:p>
      <w:pPr>
        <w:spacing w:line="540" w:lineRule="exact"/>
        <w:ind w:firstLine="640" w:firstLineChars="200"/>
        <w:rPr>
          <w:rFonts w:ascii="仿宋_GB2312" w:eastAsia="仿宋_GB2312"/>
          <w:color w:val="000000" w:themeColor="text1"/>
          <w:sz w:val="32"/>
          <w:szCs w:val="32"/>
        </w:rPr>
      </w:pPr>
      <w:bookmarkStart w:id="32" w:name="OLE_LINK62"/>
      <w:r>
        <w:rPr>
          <w:rFonts w:hint="eastAsia" w:ascii="仿宋_GB2312" w:eastAsia="仿宋_GB2312"/>
          <w:color w:val="000000" w:themeColor="text1"/>
          <w:sz w:val="32"/>
          <w:szCs w:val="32"/>
        </w:rPr>
        <w:t>与年初预算数相比情况：财政拨款收入年初预算数</w:t>
      </w:r>
      <w:r>
        <w:rPr>
          <w:rFonts w:ascii="仿宋_GB2312" w:eastAsia="仿宋_GB2312"/>
          <w:color w:val="000000" w:themeColor="text1"/>
          <w:sz w:val="32"/>
          <w:szCs w:val="32"/>
        </w:rPr>
        <w:t>165.82</w:t>
      </w:r>
      <w:r>
        <w:rPr>
          <w:rFonts w:hint="eastAsia" w:ascii="仿宋_GB2312" w:eastAsia="仿宋_GB2312"/>
          <w:color w:val="000000" w:themeColor="text1"/>
          <w:sz w:val="32"/>
          <w:szCs w:val="32"/>
        </w:rPr>
        <w:t>万元，决算数</w:t>
      </w:r>
      <w:r>
        <w:rPr>
          <w:rFonts w:hint="eastAsia" w:ascii="仿宋_GB2312" w:eastAsia="仿宋_GB2312"/>
          <w:sz w:val="32"/>
          <w:szCs w:val="32"/>
        </w:rPr>
        <w:t>198.5</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，预决算差异率19.71%，差异主要原因是本年增加食品抽检设备、食品抽检化验项目，预算未安排。</w:t>
      </w:r>
      <w:bookmarkEnd w:id="32"/>
      <w:bookmarkStart w:id="33" w:name="OLE_LINK63"/>
      <w:r>
        <w:rPr>
          <w:rFonts w:hint="eastAsia" w:ascii="仿宋_GB2312" w:eastAsia="仿宋_GB2312"/>
          <w:color w:val="000000" w:themeColor="text1"/>
          <w:sz w:val="32"/>
          <w:szCs w:val="32"/>
        </w:rPr>
        <w:t>财政拨款支出年初预算数</w:t>
      </w:r>
      <w:r>
        <w:rPr>
          <w:rFonts w:ascii="仿宋_GB2312" w:eastAsia="仿宋_GB2312"/>
          <w:color w:val="000000" w:themeColor="text1"/>
          <w:sz w:val="32"/>
          <w:szCs w:val="32"/>
        </w:rPr>
        <w:t>165.82</w:t>
      </w:r>
      <w:r>
        <w:rPr>
          <w:rFonts w:hint="eastAsia" w:ascii="仿宋_GB2312" w:eastAsia="仿宋_GB2312"/>
          <w:color w:val="000000" w:themeColor="text1"/>
          <w:sz w:val="32"/>
          <w:szCs w:val="32"/>
        </w:rPr>
        <w:t>万元，决算数</w:t>
      </w:r>
      <w:r>
        <w:rPr>
          <w:rFonts w:hint="eastAsia" w:ascii="仿宋_GB2312" w:eastAsia="仿宋_GB2312"/>
          <w:sz w:val="32"/>
          <w:szCs w:val="32"/>
        </w:rPr>
        <w:t>198.5</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，预决算差异率19.71%，差异主要原因是本年增加食品抽检设备、食品抽检化验项目，预算未安排。</w:t>
      </w:r>
      <w:bookmarkEnd w:id="3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（二）一般公共预算收支决算情况说明</w:t>
      </w:r>
    </w:p>
    <w:p>
      <w:pPr>
        <w:spacing w:line="540" w:lineRule="exact"/>
        <w:ind w:firstLine="640" w:firstLineChars="200"/>
        <w:rPr>
          <w:rFonts w:ascii="仿宋_GB2312" w:eastAsia="仿宋_GB2312"/>
          <w:color w:val="000000" w:themeColor="text1"/>
          <w:sz w:val="32"/>
          <w:szCs w:val="32"/>
        </w:rPr>
      </w:pPr>
      <w:bookmarkStart w:id="34" w:name="OLE_LINK64"/>
      <w:r>
        <w:rPr>
          <w:rFonts w:hint="eastAsia" w:ascii="仿宋_GB2312" w:eastAsia="仿宋_GB2312"/>
          <w:color w:val="000000" w:themeColor="text1"/>
          <w:sz w:val="32"/>
          <w:szCs w:val="32"/>
        </w:rPr>
        <w:t>2018年度</w:t>
      </w:r>
      <w:bookmarkStart w:id="35" w:name="OLE_LINK17"/>
      <w:r>
        <w:rPr>
          <w:rFonts w:hint="eastAsia" w:ascii="仿宋_GB2312" w:eastAsia="仿宋_GB2312"/>
          <w:color w:val="000000" w:themeColor="text1"/>
          <w:sz w:val="32"/>
          <w:szCs w:val="32"/>
        </w:rPr>
        <w:t>一般公共预算财政拨款收入</w:t>
      </w:r>
      <w:bookmarkEnd w:id="35"/>
      <w:r>
        <w:rPr>
          <w:rFonts w:ascii="仿宋_GB2312" w:eastAsia="仿宋_GB2312"/>
          <w:color w:val="000000" w:themeColor="text1"/>
          <w:sz w:val="32"/>
          <w:szCs w:val="32"/>
        </w:rPr>
        <w:t>198.5</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，与上年相比，增加32.68万元，增长19.71%，增加的主要原因是：本年增加食品抽检设备、食品抽检化验项目资金，工资增资。</w:t>
      </w:r>
      <w:bookmarkEnd w:id="34"/>
      <w:bookmarkStart w:id="36" w:name="OLE_LINK18"/>
      <w:bookmarkStart w:id="37" w:name="OLE_LINK65"/>
      <w:r>
        <w:rPr>
          <w:rFonts w:hint="eastAsia" w:ascii="仿宋_GB2312" w:eastAsia="仿宋_GB2312"/>
          <w:color w:val="000000" w:themeColor="text1"/>
          <w:sz w:val="32"/>
          <w:szCs w:val="32"/>
        </w:rPr>
        <w:t>一般公共预算财政拨款支出</w:t>
      </w:r>
      <w:r>
        <w:rPr>
          <w:rFonts w:hint="eastAsia" w:ascii="仿宋_GB2312" w:eastAsia="仿宋_GB2312"/>
          <w:sz w:val="32"/>
          <w:szCs w:val="32"/>
        </w:rPr>
        <w:t>198.5</w:t>
      </w:r>
      <w:r>
        <w:rPr>
          <w:rFonts w:hint="eastAsia" w:ascii="仿宋_GB2312" w:eastAsia="仿宋_GB2312"/>
          <w:color w:val="000000" w:themeColor="text1"/>
          <w:sz w:val="32"/>
          <w:szCs w:val="32"/>
        </w:rPr>
        <w:t>万元</w:t>
      </w:r>
      <w:bookmarkEnd w:id="36"/>
      <w:r>
        <w:rPr>
          <w:rFonts w:hint="eastAsia" w:ascii="仿宋_GB2312" w:eastAsia="仿宋_GB2312"/>
          <w:sz w:val="32"/>
          <w:szCs w:val="32"/>
        </w:rPr>
        <w:t>，与上年相比，增加32.68万元，增长19.71%，增加的主要原因是：本年增加食品抽检设备、食品抽检化验项目资金，工资增资。</w:t>
      </w:r>
      <w:bookmarkEnd w:id="37"/>
      <w:r>
        <w:rPr>
          <w:rFonts w:hint="eastAsia" w:ascii="仿宋_GB2312" w:eastAsia="仿宋_GB2312"/>
          <w:color w:val="000000" w:themeColor="text1"/>
          <w:sz w:val="32"/>
          <w:szCs w:val="32"/>
        </w:rPr>
        <w:t>其中：</w:t>
      </w:r>
      <w:bookmarkStart w:id="38" w:name="OLE_LINK19"/>
      <w:r>
        <w:rPr>
          <w:rFonts w:hint="eastAsia" w:ascii="仿宋_GB2312" w:eastAsia="仿宋_GB2312"/>
          <w:color w:val="000000" w:themeColor="text1"/>
          <w:sz w:val="32"/>
          <w:szCs w:val="32"/>
        </w:rPr>
        <w:t>按功能分类科目（按类级科目公开）</w:t>
      </w:r>
      <w:bookmarkEnd w:id="38"/>
      <w:r>
        <w:rPr>
          <w:rFonts w:hint="eastAsia" w:ascii="仿宋_GB2312" w:eastAsia="仿宋_GB2312"/>
          <w:color w:val="000000" w:themeColor="text1"/>
          <w:sz w:val="32"/>
          <w:szCs w:val="32"/>
        </w:rPr>
        <w:t>，</w:t>
      </w:r>
      <w:r>
        <w:rPr>
          <w:rFonts w:hint="eastAsia" w:ascii="仿宋_GB2312" w:eastAsia="仿宋_GB2312"/>
          <w:sz w:val="32"/>
          <w:szCs w:val="32"/>
        </w:rPr>
        <w:t>医疗卫生与计划生育支出172.62万元,住房保障支出10.14万元,社会保障和就业支出15.75万元。</w:t>
      </w:r>
      <w:bookmarkStart w:id="39" w:name="OLE_LINK20"/>
      <w:bookmarkStart w:id="40" w:name="OLE_LINK21"/>
      <w:r>
        <w:rPr>
          <w:rFonts w:hint="eastAsia" w:ascii="仿宋_GB2312" w:eastAsia="仿宋_GB2312"/>
          <w:color w:val="000000" w:themeColor="text1"/>
          <w:sz w:val="32"/>
          <w:szCs w:val="32"/>
        </w:rPr>
        <w:t>按经济分类科目</w:t>
      </w:r>
      <w:bookmarkEnd w:id="39"/>
      <w:r>
        <w:rPr>
          <w:rFonts w:hint="eastAsia" w:ascii="仿宋_GB2312" w:eastAsia="仿宋_GB2312"/>
          <w:color w:val="000000" w:themeColor="text1"/>
          <w:sz w:val="32"/>
          <w:szCs w:val="32"/>
        </w:rPr>
        <w:t>（按类级科目公开）</w:t>
      </w:r>
      <w:bookmarkEnd w:id="40"/>
      <w:r>
        <w:rPr>
          <w:rFonts w:hint="eastAsia" w:ascii="仿宋_GB2312" w:eastAsia="仿宋_GB2312"/>
          <w:color w:val="000000" w:themeColor="text1"/>
          <w:sz w:val="32"/>
          <w:szCs w:val="32"/>
        </w:rPr>
        <w:t>，</w:t>
      </w:r>
      <w:r>
        <w:rPr>
          <w:rFonts w:hint="eastAsia" w:ascii="仿宋_GB2312" w:eastAsia="仿宋_GB2312"/>
          <w:sz w:val="32"/>
          <w:szCs w:val="32"/>
        </w:rPr>
        <w:t>工资福利支出152.8万元,商品和服务支出24.22万元,对个人和家庭的补助5.25万元,资本性支出16.24万元。</w:t>
      </w:r>
    </w:p>
    <w:p>
      <w:pPr>
        <w:spacing w:line="540" w:lineRule="exact"/>
        <w:ind w:firstLine="640" w:firstLineChars="200"/>
        <w:rPr>
          <w:rFonts w:ascii="仿宋_GB2312" w:eastAsia="仿宋_GB2312"/>
          <w:color w:val="000000" w:themeColor="text1"/>
          <w:sz w:val="32"/>
          <w:szCs w:val="32"/>
        </w:rPr>
      </w:pPr>
      <w:bookmarkStart w:id="41" w:name="OLE_LINK66"/>
      <w:bookmarkStart w:id="42" w:name="OLE_LINK67"/>
      <w:r>
        <w:rPr>
          <w:rFonts w:hint="eastAsia" w:ascii="仿宋_GB2312" w:eastAsia="仿宋_GB2312"/>
          <w:color w:val="000000" w:themeColor="text1"/>
          <w:sz w:val="32"/>
          <w:szCs w:val="32"/>
        </w:rPr>
        <w:t>与年初预算数相比情况：一般公共预算财政拨款收入年初预算数</w:t>
      </w:r>
      <w:r>
        <w:rPr>
          <w:rFonts w:ascii="仿宋_GB2312" w:eastAsia="仿宋_GB2312"/>
          <w:color w:val="000000" w:themeColor="text1"/>
          <w:sz w:val="32"/>
          <w:szCs w:val="32"/>
        </w:rPr>
        <w:t>165.82</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198.5</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，预决算差异率19.71%，差异主要原因是本年增加食品抽检设备、食品抽检化验项目，预算未安排。</w:t>
      </w:r>
      <w:bookmarkEnd w:id="41"/>
      <w:bookmarkEnd w:id="42"/>
      <w:bookmarkStart w:id="43" w:name="OLE_LINK68"/>
      <w:r>
        <w:rPr>
          <w:rFonts w:hint="eastAsia" w:ascii="仿宋_GB2312" w:eastAsia="仿宋_GB2312"/>
          <w:color w:val="000000" w:themeColor="text1"/>
          <w:sz w:val="32"/>
          <w:szCs w:val="32"/>
        </w:rPr>
        <w:t>一般公共预算财政拨款支出年初预算数</w:t>
      </w:r>
      <w:r>
        <w:rPr>
          <w:rFonts w:ascii="仿宋_GB2312" w:eastAsia="仿宋_GB2312"/>
          <w:color w:val="000000" w:themeColor="text1"/>
          <w:sz w:val="32"/>
          <w:szCs w:val="32"/>
        </w:rPr>
        <w:t>165.82</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198.5</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，预决算差异率19.71%，差异主要原因是本年增加食品抽检设备、食品抽检化验项目，预算未安排。</w:t>
      </w:r>
      <w:bookmarkEnd w:id="4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（三）政府性基金预算收支决算情况说明</w:t>
      </w:r>
    </w:p>
    <w:p>
      <w:pPr>
        <w:spacing w:line="540" w:lineRule="exact"/>
        <w:ind w:firstLine="640" w:firstLineChars="200"/>
        <w:rPr>
          <w:rFonts w:ascii="仿宋_GB2312" w:eastAsia="仿宋_GB2312"/>
          <w:color w:val="000000" w:themeColor="text1"/>
          <w:sz w:val="32"/>
          <w:szCs w:val="32"/>
        </w:rPr>
      </w:pPr>
      <w:bookmarkStart w:id="44" w:name="OLE_LINK69"/>
      <w:r>
        <w:rPr>
          <w:rFonts w:hint="eastAsia" w:ascii="仿宋_GB2312" w:eastAsia="仿宋_GB2312"/>
          <w:color w:val="000000" w:themeColor="text1"/>
          <w:sz w:val="32"/>
          <w:szCs w:val="32"/>
        </w:rPr>
        <w:t>2018年度</w:t>
      </w:r>
      <w:bookmarkStart w:id="45" w:name="OLE_LINK22"/>
      <w:r>
        <w:rPr>
          <w:rFonts w:hint="eastAsia" w:ascii="仿宋_GB2312" w:eastAsia="仿宋_GB2312"/>
          <w:color w:val="000000" w:themeColor="text1"/>
          <w:sz w:val="32"/>
          <w:szCs w:val="32"/>
        </w:rPr>
        <w:t>政府性基金预算财政拨款收入</w:t>
      </w:r>
      <w:bookmarkEnd w:id="45"/>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%，主要原因是：本年未安排政府性基金。</w:t>
      </w:r>
      <w:bookmarkEnd w:id="44"/>
      <w:bookmarkStart w:id="46" w:name="OLE_LINK23"/>
      <w:bookmarkStart w:id="47" w:name="OLE_LINK70"/>
      <w:r>
        <w:rPr>
          <w:rFonts w:hint="eastAsia" w:ascii="仿宋_GB2312" w:eastAsia="仿宋_GB2312"/>
          <w:color w:val="000000" w:themeColor="text1"/>
          <w:sz w:val="32"/>
          <w:szCs w:val="32"/>
        </w:rPr>
        <w:t>政府性基金预算支出</w:t>
      </w:r>
      <w:bookmarkEnd w:id="46"/>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%，主要原因是：本年未安排政府性基金。</w:t>
      </w:r>
      <w:bookmarkEnd w:id="47"/>
      <w:r>
        <w:rPr>
          <w:rFonts w:hint="eastAsia" w:ascii="仿宋_GB2312" w:eastAsia="仿宋_GB2312"/>
          <w:color w:val="000000" w:themeColor="text1"/>
          <w:sz w:val="32"/>
          <w:szCs w:val="32"/>
        </w:rPr>
        <w:t>其中：</w:t>
      </w:r>
      <w:bookmarkStart w:id="48" w:name="OLE_LINK24"/>
      <w:r>
        <w:rPr>
          <w:rFonts w:hint="eastAsia" w:ascii="仿宋_GB2312" w:eastAsia="仿宋_GB2312"/>
          <w:color w:val="000000" w:themeColor="text1"/>
          <w:sz w:val="32"/>
          <w:szCs w:val="32"/>
        </w:rPr>
        <w:t>按功能分类科目（按类级科目公开）</w:t>
      </w:r>
      <w:bookmarkEnd w:id="48"/>
      <w:r>
        <w:rPr>
          <w:rFonts w:hint="eastAsia" w:ascii="仿宋_GB2312" w:eastAsia="仿宋_GB2312"/>
          <w:color w:val="000000" w:themeColor="text1"/>
          <w:sz w:val="32"/>
          <w:szCs w:val="32"/>
        </w:rPr>
        <w:t>，无。按经济分类科目（按类级科目公开），无。</w:t>
      </w:r>
    </w:p>
    <w:p>
      <w:pPr>
        <w:spacing w:line="540" w:lineRule="exact"/>
        <w:ind w:firstLine="640" w:firstLineChars="200"/>
        <w:rPr>
          <w:rFonts w:ascii="仿宋_GB2312" w:eastAsia="仿宋_GB2312"/>
          <w:color w:val="000000" w:themeColor="text1"/>
          <w:sz w:val="32"/>
          <w:szCs w:val="32"/>
        </w:rPr>
      </w:pPr>
      <w:bookmarkStart w:id="49" w:name="OLE_LINK71"/>
      <w:bookmarkStart w:id="50" w:name="OLE_LINK72"/>
      <w:r>
        <w:rPr>
          <w:rFonts w:hint="eastAsia" w:ascii="仿宋_GB2312" w:eastAsia="仿宋_GB2312"/>
          <w:color w:val="000000" w:themeColor="text1"/>
          <w:sz w:val="32"/>
          <w:szCs w:val="32"/>
        </w:rPr>
        <w:t>与年初预算数相比情况：政府性基金预算财政拨款收入年初预算数0万元，决算数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，预决算差异率0%，差异主要原因是本年未安排政府性基金。</w:t>
      </w:r>
      <w:bookmarkEnd w:id="49"/>
      <w:bookmarkEnd w:id="50"/>
      <w:bookmarkStart w:id="51" w:name="OLE_LINK73"/>
      <w:r>
        <w:rPr>
          <w:rFonts w:hint="eastAsia" w:ascii="仿宋_GB2312" w:eastAsia="仿宋_GB2312"/>
          <w:color w:val="000000" w:themeColor="text1"/>
          <w:sz w:val="32"/>
          <w:szCs w:val="32"/>
        </w:rPr>
        <w:t>政府性基金预算财政拨款支出年初预算数0万元，决算数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，预决算差异率0%，差异主要原因是本年未安排政府性基金。</w:t>
      </w:r>
      <w:bookmarkEnd w:id="51"/>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三、部门结转结余情况</w:t>
      </w:r>
    </w:p>
    <w:p>
      <w:pPr>
        <w:spacing w:line="540" w:lineRule="exact"/>
        <w:ind w:firstLine="640" w:firstLineChars="200"/>
        <w:rPr>
          <w:rFonts w:ascii="仿宋_GB2312" w:eastAsia="仿宋_GB2312"/>
          <w:color w:val="000000" w:themeColor="text1"/>
          <w:sz w:val="32"/>
          <w:szCs w:val="32"/>
        </w:rPr>
      </w:pPr>
      <w:bookmarkStart w:id="52" w:name="OLE_LINK25"/>
      <w:bookmarkStart w:id="53" w:name="OLE_LINK26"/>
      <w:r>
        <w:rPr>
          <w:rFonts w:hint="eastAsia" w:ascii="仿宋_GB2312" w:eastAsia="仿宋_GB2312"/>
          <w:color w:val="000000" w:themeColor="text1"/>
          <w:sz w:val="32"/>
          <w:szCs w:val="32"/>
        </w:rPr>
        <w:t>年末结转结余</w:t>
      </w:r>
      <w:bookmarkEnd w:id="52"/>
      <w:bookmarkEnd w:id="53"/>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r>
        <w:rPr>
          <w:rFonts w:hint="eastAsia" w:ascii="仿宋_GB2312" w:eastAsia="仿宋_GB2312"/>
          <w:color w:val="000000" w:themeColor="text1"/>
          <w:sz w:val="32"/>
          <w:szCs w:val="32"/>
        </w:rPr>
        <w:t>其中</w:t>
      </w:r>
      <w:bookmarkStart w:id="54" w:name="OLE_LINK27"/>
      <w:bookmarkStart w:id="55" w:name="OLE_LINK28"/>
      <w:r>
        <w:rPr>
          <w:rFonts w:hint="eastAsia" w:ascii="仿宋_GB2312" w:eastAsia="仿宋_GB2312"/>
          <w:color w:val="000000" w:themeColor="text1"/>
          <w:sz w:val="32"/>
          <w:szCs w:val="32"/>
        </w:rPr>
        <w:t>财政拨款结转结余</w:t>
      </w:r>
      <w:bookmarkEnd w:id="54"/>
      <w:bookmarkEnd w:id="55"/>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四、一般公共预算“三公”经费支出情况</w:t>
      </w:r>
    </w:p>
    <w:p>
      <w:pPr>
        <w:spacing w:line="540" w:lineRule="exact"/>
        <w:ind w:firstLine="640" w:firstLineChars="200"/>
        <w:rPr>
          <w:rFonts w:ascii="仿宋_GB2312" w:eastAsia="仿宋_GB2312"/>
          <w:color w:val="000000" w:themeColor="text1"/>
          <w:sz w:val="32"/>
          <w:szCs w:val="32"/>
        </w:rPr>
      </w:pPr>
      <w:bookmarkStart w:id="56" w:name="OLE_LINK74"/>
      <w:r>
        <w:rPr>
          <w:rFonts w:hint="eastAsia" w:ascii="仿宋_GB2312" w:eastAsia="仿宋_GB2312"/>
          <w:color w:val="000000" w:themeColor="text1"/>
          <w:sz w:val="32"/>
          <w:szCs w:val="32"/>
        </w:rPr>
        <w:t>2018年度</w:t>
      </w:r>
      <w:bookmarkStart w:id="57" w:name="OLE_LINK29"/>
      <w:r>
        <w:rPr>
          <w:rFonts w:hint="eastAsia" w:ascii="仿宋_GB2312" w:eastAsia="仿宋_GB2312"/>
          <w:color w:val="000000" w:themeColor="text1"/>
          <w:sz w:val="32"/>
          <w:szCs w:val="32"/>
        </w:rPr>
        <w:t>一般公共预算“三公”经费支出决算</w:t>
      </w:r>
      <w:bookmarkEnd w:id="57"/>
      <w:r>
        <w:rPr>
          <w:rFonts w:hint="eastAsia" w:ascii="仿宋_GB2312" w:eastAsia="仿宋_GB2312"/>
          <w:sz w:val="32"/>
          <w:szCs w:val="32"/>
        </w:rPr>
        <w:t>0.8</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%，主要原因是：严格按照八项规定的要求，尽量压缩“三公”经费。</w:t>
      </w:r>
      <w:bookmarkEnd w:id="56"/>
      <w:bookmarkStart w:id="58" w:name="OLE_LINK75"/>
      <w:r>
        <w:rPr>
          <w:rFonts w:hint="eastAsia" w:ascii="仿宋_GB2312" w:eastAsia="仿宋_GB2312"/>
          <w:color w:val="000000" w:themeColor="text1"/>
          <w:sz w:val="32"/>
          <w:szCs w:val="32"/>
        </w:rPr>
        <w:t>其中，</w:t>
      </w:r>
      <w:bookmarkStart w:id="59" w:name="OLE_LINK30"/>
      <w:r>
        <w:rPr>
          <w:rFonts w:hint="eastAsia" w:ascii="仿宋_GB2312" w:eastAsia="仿宋_GB2312"/>
          <w:color w:val="000000" w:themeColor="text1"/>
          <w:sz w:val="32"/>
          <w:szCs w:val="32"/>
        </w:rPr>
        <w:t>因公出国（境）费支出</w:t>
      </w:r>
      <w:bookmarkEnd w:id="5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%，主要原因是：本部门无此项预算；</w:t>
      </w:r>
      <w:bookmarkEnd w:id="58"/>
      <w:bookmarkStart w:id="60" w:name="OLE_LINK31"/>
      <w:bookmarkStart w:id="61" w:name="OLE_LINK76"/>
      <w:r>
        <w:rPr>
          <w:rFonts w:hint="eastAsia" w:ascii="仿宋_GB2312" w:eastAsia="仿宋_GB2312"/>
          <w:color w:val="000000" w:themeColor="text1"/>
          <w:sz w:val="32"/>
          <w:szCs w:val="32"/>
        </w:rPr>
        <w:t>公务用车购置及运行维护费支出</w:t>
      </w:r>
      <w:bookmarkEnd w:id="60"/>
      <w:r>
        <w:rPr>
          <w:rFonts w:hint="eastAsia" w:ascii="仿宋_GB2312" w:eastAsia="仿宋_GB2312"/>
          <w:sz w:val="32"/>
          <w:szCs w:val="32"/>
        </w:rPr>
        <w:t>0.8</w:t>
      </w:r>
      <w:r>
        <w:rPr>
          <w:rFonts w:hint="eastAsia" w:ascii="仿宋_GB2312" w:eastAsia="仿宋_GB2312"/>
          <w:color w:val="000000" w:themeColor="text1"/>
          <w:sz w:val="32"/>
          <w:szCs w:val="32"/>
        </w:rPr>
        <w:t>万元，占</w:t>
      </w:r>
      <w:r>
        <w:rPr>
          <w:rFonts w:hint="eastAsia" w:ascii="仿宋_GB2312" w:eastAsia="仿宋_GB2312"/>
          <w:sz w:val="32"/>
          <w:szCs w:val="32"/>
        </w:rPr>
        <w:t>100%，与上年相比增加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%，主要原因是：严格按照八项规定的要求，压缩公务用车运行维护费，减少公务用车运行维护费支出；</w:t>
      </w:r>
      <w:bookmarkEnd w:id="61"/>
      <w:bookmarkStart w:id="62" w:name="OLE_LINK32"/>
      <w:bookmarkStart w:id="63" w:name="OLE_LINK77"/>
      <w:bookmarkStart w:id="64" w:name="OLE_LINK78"/>
      <w:r>
        <w:rPr>
          <w:rFonts w:hint="eastAsia" w:ascii="仿宋_GB2312" w:eastAsia="仿宋_GB2312"/>
          <w:color w:val="000000" w:themeColor="text1"/>
          <w:sz w:val="32"/>
          <w:szCs w:val="32"/>
        </w:rPr>
        <w:t>公务接待费支出</w:t>
      </w:r>
      <w:bookmarkEnd w:id="6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%，主要原因是：本部门无此项预算。</w:t>
      </w:r>
      <w:bookmarkEnd w:id="63"/>
      <w:bookmarkEnd w:id="64"/>
      <w:r>
        <w:rPr>
          <w:rFonts w:hint="eastAsia" w:ascii="仿宋_GB2312" w:eastAsia="仿宋_GB2312"/>
          <w:color w:val="000000" w:themeColor="text1"/>
          <w:sz w:val="32"/>
          <w:szCs w:val="32"/>
        </w:rPr>
        <w:t>具体情况如下：</w:t>
      </w:r>
    </w:p>
    <w:p>
      <w:pPr>
        <w:spacing w:line="540" w:lineRule="exact"/>
        <w:ind w:firstLine="640" w:firstLineChars="200"/>
        <w:rPr>
          <w:rFonts w:ascii="仿宋_GB2312" w:eastAsia="仿宋_GB2312"/>
          <w:color w:val="000000" w:themeColor="text1"/>
          <w:sz w:val="32"/>
          <w:szCs w:val="32"/>
        </w:rPr>
      </w:pPr>
      <w:bookmarkStart w:id="65" w:name="OLE_LINK79"/>
      <w:bookmarkStart w:id="66" w:name="OLE_LINK80"/>
      <w:r>
        <w:rPr>
          <w:rFonts w:hint="eastAsia" w:ascii="仿宋_GB2312" w:eastAsia="仿宋_GB2312"/>
          <w:color w:val="000000" w:themeColor="text1"/>
          <w:sz w:val="32"/>
          <w:szCs w:val="32"/>
        </w:rPr>
        <w:t>因公出国（境）费支出</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新疆喀什地区英吉沙县食品药品监督管理局</w:t>
      </w:r>
      <w:r>
        <w:rPr>
          <w:rFonts w:hint="eastAsia" w:ascii="仿宋_GB2312" w:eastAsia="仿宋_GB2312"/>
          <w:color w:val="000000" w:themeColor="text1"/>
          <w:sz w:val="32"/>
          <w:szCs w:val="32"/>
        </w:rPr>
        <w:t>单位</w:t>
      </w:r>
      <w:bookmarkStart w:id="67" w:name="OLE_LINK33"/>
      <w:r>
        <w:rPr>
          <w:rFonts w:hint="eastAsia" w:ascii="仿宋_GB2312" w:eastAsia="仿宋_GB2312"/>
          <w:color w:val="000000" w:themeColor="text1"/>
          <w:sz w:val="32"/>
          <w:szCs w:val="32"/>
        </w:rPr>
        <w:t>全年</w:t>
      </w:r>
      <w:bookmarkStart w:id="68" w:name="OLE_LINK35"/>
      <w:bookmarkStart w:id="69" w:name="OLE_LINK34"/>
      <w:bookmarkStart w:id="70" w:name="OLE_LINK36"/>
      <w:r>
        <w:rPr>
          <w:rFonts w:hint="eastAsia" w:ascii="仿宋_GB2312" w:eastAsia="仿宋_GB2312"/>
          <w:color w:val="000000" w:themeColor="text1"/>
          <w:sz w:val="32"/>
          <w:szCs w:val="32"/>
        </w:rPr>
        <w:t>使用一般公共预算财政拨款安排的出国（境）团组</w:t>
      </w:r>
      <w:bookmarkEnd w:id="67"/>
      <w:bookmarkEnd w:id="68"/>
      <w:bookmarkEnd w:id="69"/>
      <w:r>
        <w:rPr>
          <w:rFonts w:hint="eastAsia" w:ascii="仿宋_GB2312" w:eastAsia="仿宋_GB2312"/>
          <w:sz w:val="32"/>
          <w:szCs w:val="32"/>
        </w:rPr>
        <w:t>0</w:t>
      </w:r>
      <w:r>
        <w:rPr>
          <w:rFonts w:hint="eastAsia" w:ascii="仿宋_GB2312" w:eastAsia="仿宋_GB2312"/>
          <w:color w:val="000000" w:themeColor="text1"/>
          <w:sz w:val="32"/>
          <w:szCs w:val="32"/>
        </w:rPr>
        <w:t>个</w:t>
      </w:r>
      <w:bookmarkEnd w:id="70"/>
      <w:r>
        <w:rPr>
          <w:rFonts w:hint="eastAsia" w:ascii="仿宋_GB2312" w:eastAsia="仿宋_GB2312"/>
          <w:color w:val="000000" w:themeColor="text1"/>
          <w:sz w:val="32"/>
          <w:szCs w:val="32"/>
        </w:rPr>
        <w:t>，</w:t>
      </w:r>
      <w:bookmarkStart w:id="71" w:name="OLE_LINK37"/>
      <w:r>
        <w:rPr>
          <w:rFonts w:hint="eastAsia" w:ascii="仿宋_GB2312" w:eastAsia="仿宋_GB2312"/>
          <w:color w:val="000000" w:themeColor="text1"/>
          <w:sz w:val="32"/>
          <w:szCs w:val="32"/>
        </w:rPr>
        <w:t>累计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1"/>
      <w:r>
        <w:rPr>
          <w:rFonts w:hint="eastAsia" w:ascii="仿宋_GB2312" w:eastAsia="仿宋_GB2312"/>
          <w:color w:val="000000" w:themeColor="text1"/>
          <w:sz w:val="32"/>
          <w:szCs w:val="32"/>
        </w:rPr>
        <w:t>。</w:t>
      </w:r>
      <w:bookmarkStart w:id="72" w:name="OLE_LINK38"/>
      <w:r>
        <w:rPr>
          <w:rFonts w:hint="eastAsia" w:ascii="仿宋_GB2312" w:eastAsia="仿宋_GB2312"/>
          <w:color w:val="000000" w:themeColor="text1"/>
          <w:sz w:val="32"/>
          <w:szCs w:val="32"/>
        </w:rPr>
        <w:t>开支内容包括：</w:t>
      </w:r>
      <w:r>
        <w:rPr>
          <w:rFonts w:ascii="仿宋_GB2312" w:eastAsia="仿宋_GB2312"/>
          <w:color w:val="000000" w:themeColor="text1"/>
          <w:sz w:val="32"/>
          <w:szCs w:val="32"/>
        </w:rPr>
        <w:t>本部门无此项预算。</w:t>
      </w:r>
      <w:bookmarkEnd w:id="65"/>
      <w:bookmarkEnd w:id="66"/>
      <w:bookmarkEnd w:id="72"/>
    </w:p>
    <w:p>
      <w:pPr>
        <w:spacing w:line="540" w:lineRule="exact"/>
        <w:ind w:firstLine="640" w:firstLineChars="200"/>
        <w:rPr>
          <w:rFonts w:ascii="仿宋_GB2312" w:eastAsia="仿宋_GB2312"/>
          <w:color w:val="000000" w:themeColor="text1"/>
          <w:sz w:val="32"/>
          <w:szCs w:val="32"/>
        </w:rPr>
      </w:pPr>
      <w:bookmarkStart w:id="73" w:name="OLE_LINK81"/>
      <w:r>
        <w:rPr>
          <w:rFonts w:hint="eastAsia" w:ascii="仿宋_GB2312" w:eastAsia="仿宋_GB2312"/>
          <w:color w:val="000000" w:themeColor="text1"/>
          <w:sz w:val="32"/>
          <w:szCs w:val="32"/>
        </w:rPr>
        <w:t>公务用车购置及运行维护费</w:t>
      </w:r>
      <w:r>
        <w:rPr>
          <w:rFonts w:hint="eastAsia" w:ascii="仿宋_GB2312" w:eastAsia="仿宋_GB2312"/>
          <w:sz w:val="32"/>
          <w:szCs w:val="32"/>
        </w:rPr>
        <w:t>0.8</w:t>
      </w:r>
      <w:r>
        <w:rPr>
          <w:rFonts w:hint="eastAsia" w:ascii="仿宋_GB2312" w:eastAsia="仿宋_GB2312"/>
          <w:color w:val="000000" w:themeColor="text1"/>
          <w:sz w:val="32"/>
          <w:szCs w:val="32"/>
        </w:rPr>
        <w:t>万元,其中，</w:t>
      </w:r>
      <w:bookmarkStart w:id="74" w:name="OLE_LINK39"/>
      <w:r>
        <w:rPr>
          <w:rFonts w:hint="eastAsia" w:ascii="仿宋_GB2312" w:eastAsia="仿宋_GB2312"/>
          <w:color w:val="000000" w:themeColor="text1"/>
          <w:sz w:val="32"/>
          <w:szCs w:val="32"/>
        </w:rPr>
        <w:t>公务用车购置</w:t>
      </w:r>
      <w:r>
        <w:rPr>
          <w:rFonts w:hint="eastAsia" w:ascii="仿宋_GB2312" w:eastAsia="仿宋_GB2312"/>
          <w:sz w:val="32"/>
          <w:szCs w:val="32"/>
        </w:rPr>
        <w:t>0</w:t>
      </w:r>
      <w:r>
        <w:rPr>
          <w:rFonts w:hint="eastAsia" w:ascii="仿宋_GB2312" w:eastAsia="仿宋_GB2312"/>
          <w:color w:val="000000" w:themeColor="text1"/>
          <w:sz w:val="32"/>
          <w:szCs w:val="32"/>
        </w:rPr>
        <w:t>万元</w:t>
      </w:r>
      <w:bookmarkEnd w:id="74"/>
      <w:r>
        <w:rPr>
          <w:rFonts w:hint="eastAsia" w:ascii="仿宋_GB2312" w:eastAsia="仿宋_GB2312"/>
          <w:color w:val="000000" w:themeColor="text1"/>
          <w:sz w:val="32"/>
          <w:szCs w:val="32"/>
        </w:rPr>
        <w:t>，</w:t>
      </w:r>
      <w:bookmarkStart w:id="75" w:name="OLE_LINK41"/>
      <w:bookmarkStart w:id="76" w:name="OLE_LINK40"/>
      <w:r>
        <w:rPr>
          <w:rFonts w:hint="eastAsia" w:ascii="仿宋_GB2312" w:eastAsia="仿宋_GB2312"/>
          <w:color w:val="000000" w:themeColor="text1"/>
          <w:sz w:val="32"/>
          <w:szCs w:val="32"/>
        </w:rPr>
        <w:t>公务用车运行维护费</w:t>
      </w:r>
      <w:r>
        <w:rPr>
          <w:rFonts w:hint="eastAsia" w:ascii="仿宋_GB2312" w:eastAsia="仿宋_GB2312"/>
          <w:sz w:val="32"/>
          <w:szCs w:val="32"/>
        </w:rPr>
        <w:t>0.8</w:t>
      </w:r>
      <w:r>
        <w:rPr>
          <w:rFonts w:hint="eastAsia" w:ascii="仿宋_GB2312" w:eastAsia="仿宋_GB2312"/>
          <w:color w:val="000000" w:themeColor="text1"/>
          <w:sz w:val="32"/>
          <w:szCs w:val="32"/>
        </w:rPr>
        <w:t>万元</w:t>
      </w:r>
      <w:bookmarkEnd w:id="75"/>
      <w:bookmarkEnd w:id="76"/>
      <w:r>
        <w:rPr>
          <w:rFonts w:hint="eastAsia" w:ascii="仿宋_GB2312" w:eastAsia="仿宋_GB2312"/>
          <w:color w:val="000000" w:themeColor="text1"/>
          <w:sz w:val="32"/>
          <w:szCs w:val="32"/>
        </w:rPr>
        <w:t>。主要用于</w:t>
      </w:r>
      <w:r>
        <w:rPr>
          <w:rFonts w:hint="eastAsia" w:ascii="仿宋_GB2312" w:eastAsia="仿宋_GB2312"/>
          <w:sz w:val="32"/>
          <w:szCs w:val="32"/>
        </w:rPr>
        <w:t>汽车燃油费、维修费、保险费、过路费</w:t>
      </w:r>
      <w:r>
        <w:rPr>
          <w:rFonts w:hint="eastAsia" w:ascii="仿宋_GB2312" w:eastAsia="仿宋_GB2312"/>
          <w:color w:val="000000" w:themeColor="text1"/>
          <w:sz w:val="32"/>
          <w:szCs w:val="32"/>
        </w:rPr>
        <w:t>等。</w:t>
      </w:r>
      <w:bookmarkEnd w:id="73"/>
      <w:bookmarkStart w:id="77" w:name="OLE_LINK82"/>
      <w:r>
        <w:rPr>
          <w:rFonts w:hint="eastAsia" w:ascii="仿宋_GB2312" w:eastAsia="仿宋_GB2312"/>
          <w:color w:val="000000" w:themeColor="text1"/>
          <w:sz w:val="32"/>
          <w:szCs w:val="32"/>
        </w:rPr>
        <w:t>单位一般公共财政拨款安排的公务用车购置量</w:t>
      </w:r>
      <w:r>
        <w:rPr>
          <w:rFonts w:hint="eastAsia" w:ascii="仿宋_GB2312" w:eastAsia="仿宋_GB2312"/>
          <w:sz w:val="32"/>
          <w:szCs w:val="32"/>
        </w:rPr>
        <w:t>0</w:t>
      </w:r>
      <w:r>
        <w:rPr>
          <w:rFonts w:hint="eastAsia" w:ascii="仿宋_GB2312" w:eastAsia="仿宋_GB2312"/>
          <w:color w:val="000000" w:themeColor="text1"/>
          <w:sz w:val="32"/>
          <w:szCs w:val="32"/>
        </w:rPr>
        <w:t>辆，保有量为</w:t>
      </w:r>
      <w:r>
        <w:rPr>
          <w:rFonts w:hint="eastAsia" w:ascii="仿宋_GB2312" w:eastAsia="仿宋_GB2312"/>
          <w:sz w:val="32"/>
          <w:szCs w:val="32"/>
        </w:rPr>
        <w:t>2</w:t>
      </w:r>
      <w:r>
        <w:rPr>
          <w:rFonts w:hint="eastAsia" w:ascii="仿宋_GB2312" w:eastAsia="仿宋_GB2312"/>
          <w:color w:val="000000" w:themeColor="text1"/>
          <w:sz w:val="32"/>
          <w:szCs w:val="32"/>
        </w:rPr>
        <w:t>辆。</w:t>
      </w:r>
      <w:bookmarkEnd w:id="77"/>
    </w:p>
    <w:p>
      <w:pPr>
        <w:spacing w:line="540" w:lineRule="exact"/>
        <w:ind w:firstLine="640" w:firstLineChars="200"/>
        <w:rPr>
          <w:rFonts w:ascii="仿宋_GB2312" w:eastAsia="仿宋_GB2312"/>
          <w:color w:val="000000" w:themeColor="text1"/>
          <w:sz w:val="32"/>
          <w:szCs w:val="32"/>
        </w:rPr>
      </w:pPr>
      <w:bookmarkStart w:id="78" w:name="OLE_LINK83"/>
      <w:r>
        <w:rPr>
          <w:rFonts w:hint="eastAsia" w:ascii="仿宋_GB2312" w:eastAsia="仿宋_GB2312"/>
          <w:color w:val="000000" w:themeColor="text1"/>
          <w:sz w:val="32"/>
          <w:szCs w:val="32"/>
        </w:rPr>
        <w:t>公务接待费</w:t>
      </w:r>
      <w:r>
        <w:rPr>
          <w:rFonts w:hint="eastAsia" w:ascii="仿宋_GB2312" w:eastAsia="仿宋_GB2312"/>
          <w:sz w:val="32"/>
          <w:szCs w:val="32"/>
        </w:rPr>
        <w:t>0</w:t>
      </w:r>
      <w:r>
        <w:rPr>
          <w:rFonts w:hint="eastAsia" w:ascii="仿宋_GB2312" w:eastAsia="仿宋_GB2312"/>
          <w:color w:val="000000" w:themeColor="text1"/>
          <w:sz w:val="32"/>
          <w:szCs w:val="32"/>
        </w:rPr>
        <w:t>万元。具体是：国内公务接待支出</w:t>
      </w:r>
      <w:r>
        <w:rPr>
          <w:rFonts w:hint="eastAsia" w:ascii="仿宋_GB2312" w:eastAsia="仿宋_GB2312"/>
          <w:sz w:val="32"/>
          <w:szCs w:val="32"/>
        </w:rPr>
        <w:t>0</w:t>
      </w:r>
      <w:r>
        <w:rPr>
          <w:rFonts w:hint="eastAsia" w:ascii="仿宋_GB2312" w:eastAsia="仿宋_GB2312"/>
          <w:color w:val="000000" w:themeColor="text1"/>
          <w:sz w:val="32"/>
          <w:szCs w:val="32"/>
        </w:rPr>
        <w:t>万元，主要是</w:t>
      </w:r>
      <w:r>
        <w:rPr>
          <w:rFonts w:hint="eastAsia" w:ascii="仿宋_GB2312" w:eastAsia="仿宋_GB2312"/>
          <w:sz w:val="32"/>
          <w:szCs w:val="32"/>
        </w:rPr>
        <w:t>本部门无此项预算</w:t>
      </w:r>
      <w:r>
        <w:rPr>
          <w:rFonts w:hint="eastAsia" w:ascii="仿宋_GB2312" w:eastAsia="仿宋_GB2312"/>
          <w:color w:val="000000" w:themeColor="text1"/>
          <w:sz w:val="32"/>
          <w:szCs w:val="32"/>
        </w:rPr>
        <w:t>等。</w:t>
      </w:r>
      <w:bookmarkEnd w:id="78"/>
      <w:bookmarkStart w:id="79" w:name="OLE_LINK84"/>
      <w:r>
        <w:rPr>
          <w:rFonts w:hint="eastAsia" w:ascii="仿宋_GB2312" w:eastAsia="仿宋_GB2312"/>
          <w:sz w:val="32"/>
          <w:szCs w:val="32"/>
        </w:rPr>
        <w:t>新疆喀什地区英吉沙县食品药品监督管理局</w:t>
      </w:r>
      <w:r>
        <w:rPr>
          <w:rFonts w:hint="eastAsia" w:ascii="仿宋_GB2312" w:eastAsia="仿宋_GB2312"/>
          <w:color w:val="000000" w:themeColor="text1"/>
          <w:sz w:val="32"/>
          <w:szCs w:val="32"/>
        </w:rPr>
        <w:t>单位国内公务接待</w:t>
      </w:r>
      <w:r>
        <w:rPr>
          <w:rFonts w:hint="eastAsia" w:ascii="仿宋_GB2312" w:eastAsia="仿宋_GB2312"/>
          <w:sz w:val="32"/>
          <w:szCs w:val="32"/>
        </w:rPr>
        <w:t>0</w:t>
      </w:r>
      <w:r>
        <w:rPr>
          <w:rFonts w:hint="eastAsia" w:ascii="仿宋_GB2312" w:eastAsia="仿宋_GB2312"/>
          <w:color w:val="000000" w:themeColor="text1"/>
          <w:sz w:val="32"/>
          <w:szCs w:val="32"/>
        </w:rPr>
        <w:t>批次，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9"/>
    </w:p>
    <w:p>
      <w:pPr>
        <w:spacing w:line="540" w:lineRule="exact"/>
        <w:ind w:firstLine="640" w:firstLineChars="200"/>
        <w:rPr>
          <w:rFonts w:ascii="仿宋_GB2312" w:hAnsi="宋体" w:eastAsia="仿宋_GB2312" w:cs="宋体"/>
          <w:color w:val="000000" w:themeColor="text1"/>
          <w:kern w:val="0"/>
          <w:sz w:val="32"/>
          <w:szCs w:val="32"/>
        </w:rPr>
      </w:pPr>
      <w:bookmarkStart w:id="80" w:name="OLE_LINK85"/>
      <w:r>
        <w:rPr>
          <w:rFonts w:hint="eastAsia" w:ascii="仿宋_GB2312" w:eastAsia="仿宋_GB2312"/>
          <w:color w:val="000000" w:themeColor="text1"/>
          <w:sz w:val="32"/>
          <w:szCs w:val="32"/>
        </w:rPr>
        <w:t>与年初预算数相比情况：一般公共预算“三公”经费支出年初预算数</w:t>
      </w:r>
      <w:r>
        <w:rPr>
          <w:rFonts w:ascii="仿宋_GB2312" w:eastAsia="仿宋_GB2312"/>
          <w:color w:val="000000" w:themeColor="text1"/>
          <w:sz w:val="32"/>
          <w:szCs w:val="32"/>
        </w:rPr>
        <w:t>1.5</w:t>
      </w:r>
      <w:r>
        <w:rPr>
          <w:rFonts w:hint="eastAsia" w:ascii="仿宋_GB2312" w:eastAsia="仿宋_GB2312"/>
          <w:color w:val="000000" w:themeColor="text1"/>
          <w:sz w:val="32"/>
          <w:szCs w:val="32"/>
        </w:rPr>
        <w:t>万元，决算数0.8万元</w:t>
      </w:r>
      <w:r>
        <w:rPr>
          <w:rFonts w:ascii="仿宋_GB2312" w:eastAsia="仿宋_GB2312"/>
          <w:color w:val="000000" w:themeColor="text1"/>
          <w:sz w:val="32"/>
          <w:szCs w:val="32"/>
        </w:rPr>
        <w:t>，预决算差异率-46.67%，差异主要原因是严格按照八项规定的要求，压缩“三公”经费。</w:t>
      </w:r>
      <w:bookmarkEnd w:id="80"/>
      <w:bookmarkStart w:id="81" w:name="OLE_LINK86"/>
      <w:bookmarkStart w:id="82" w:name="OLE_LINK87"/>
      <w:r>
        <w:rPr>
          <w:rFonts w:hint="eastAsia" w:ascii="仿宋_GB2312" w:hAnsi="宋体" w:eastAsia="仿宋_GB2312" w:cs="宋体"/>
          <w:color w:val="000000" w:themeColor="text1"/>
          <w:kern w:val="0"/>
          <w:sz w:val="32"/>
          <w:szCs w:val="32"/>
        </w:rPr>
        <w:t>其中：因公出国（境）费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，预决算差异率0%，差异主要原因是本部门无此项预算，无此项支出；</w:t>
      </w:r>
      <w:bookmarkEnd w:id="81"/>
      <w:bookmarkEnd w:id="82"/>
      <w:bookmarkStart w:id="83" w:name="OLE_LINK88"/>
      <w:bookmarkStart w:id="84" w:name="OLE_LINK89"/>
      <w:r>
        <w:rPr>
          <w:rFonts w:hint="eastAsia" w:ascii="仿宋_GB2312" w:hAnsi="宋体" w:eastAsia="仿宋_GB2312" w:cs="宋体"/>
          <w:color w:val="000000" w:themeColor="text1"/>
          <w:kern w:val="0"/>
          <w:sz w:val="32"/>
          <w:szCs w:val="32"/>
        </w:rPr>
        <w:t>公务用车购置</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，预决算差异率0%，差异主要原因是本部门无此项预算，无此项支出；</w:t>
      </w:r>
      <w:bookmarkEnd w:id="83"/>
      <w:bookmarkEnd w:id="84"/>
      <w:bookmarkStart w:id="85" w:name="OLE_LINK90"/>
      <w:r>
        <w:rPr>
          <w:rFonts w:hint="eastAsia" w:ascii="仿宋_GB2312" w:hAnsi="宋体" w:eastAsia="仿宋_GB2312" w:cs="宋体"/>
          <w:color w:val="000000" w:themeColor="text1"/>
          <w:kern w:val="0"/>
          <w:sz w:val="32"/>
          <w:szCs w:val="32"/>
        </w:rPr>
        <w:t>公务用车运行费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1.5</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0.8</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，预决算差异率-46.67%，差异主要原因是严格按照八项规定的要求，压缩公务用车运行维护费，减少公务用车运行维护费支出；</w:t>
      </w:r>
      <w:bookmarkEnd w:id="85"/>
      <w:bookmarkStart w:id="86" w:name="OLE_LINK91"/>
      <w:r>
        <w:rPr>
          <w:rFonts w:hint="eastAsia" w:ascii="仿宋_GB2312" w:hAnsi="宋体" w:eastAsia="仿宋_GB2312" w:cs="宋体"/>
          <w:color w:val="000000" w:themeColor="text1"/>
          <w:kern w:val="0"/>
          <w:sz w:val="32"/>
          <w:szCs w:val="32"/>
        </w:rPr>
        <w:t>公务接待费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w:t>
      </w:r>
      <w:bookmarkEnd w:id="86"/>
      <w:r>
        <w:rPr>
          <w:rFonts w:ascii="仿宋_GB2312" w:eastAsia="仿宋_GB2312"/>
          <w:color w:val="000000" w:themeColor="text1"/>
          <w:sz w:val="32"/>
          <w:szCs w:val="32"/>
        </w:rPr>
        <w:t>本部门无此项预算，无此项支出。</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五、机关运行经费支出情况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2018年度新疆喀什地区英吉沙县食品药品监督管理局机关运行经费支出7.06万元，</w:t>
      </w:r>
      <w:bookmarkStart w:id="92" w:name="_GoBack"/>
      <w:bookmarkEnd w:id="92"/>
      <w:r>
        <w:rPr>
          <w:rFonts w:hint="eastAsia" w:ascii="仿宋_GB2312" w:eastAsia="仿宋_GB2312"/>
          <w:color w:val="000000" w:themeColor="text1"/>
          <w:sz w:val="32"/>
          <w:szCs w:val="32"/>
        </w:rPr>
        <w:t>与上年相比，减少0.5万元，下降6.61%，减少的主要原因是：压缩日常公用经费，减少公用经费支出。</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六、政府采购情况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w:t>
      </w:r>
      <w:bookmarkStart w:id="87" w:name="OLE_LINK45"/>
      <w:r>
        <w:rPr>
          <w:rFonts w:hint="eastAsia" w:ascii="仿宋_GB2312" w:eastAsia="仿宋_GB2312"/>
          <w:color w:val="000000" w:themeColor="text1"/>
          <w:sz w:val="32"/>
          <w:szCs w:val="32"/>
        </w:rPr>
        <w:t>政府采购支出总额</w:t>
      </w:r>
      <w:bookmarkEnd w:id="87"/>
      <w:r>
        <w:rPr>
          <w:rFonts w:hint="eastAsia" w:ascii="仿宋_GB2312" w:eastAsia="仿宋_GB2312"/>
          <w:sz w:val="32"/>
          <w:szCs w:val="32"/>
        </w:rPr>
        <w:t>0</w:t>
      </w:r>
      <w:r>
        <w:rPr>
          <w:rFonts w:hint="eastAsia" w:ascii="仿宋_GB2312" w:eastAsia="仿宋_GB2312"/>
          <w:color w:val="000000" w:themeColor="text1"/>
          <w:sz w:val="32"/>
          <w:szCs w:val="32"/>
        </w:rPr>
        <w:t>万元，其中：</w:t>
      </w:r>
      <w:bookmarkStart w:id="88" w:name="OLE_LINK46"/>
      <w:r>
        <w:rPr>
          <w:rFonts w:hint="eastAsia" w:ascii="仿宋_GB2312" w:eastAsia="仿宋_GB2312"/>
          <w:color w:val="000000" w:themeColor="text1"/>
          <w:sz w:val="32"/>
          <w:szCs w:val="32"/>
        </w:rPr>
        <w:t>政府采购货物支出</w:t>
      </w:r>
      <w:bookmarkEnd w:id="88"/>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89" w:name="OLE_LINK47"/>
      <w:r>
        <w:rPr>
          <w:rFonts w:hint="eastAsia" w:ascii="仿宋_GB2312" w:eastAsia="仿宋_GB2312"/>
          <w:color w:val="000000" w:themeColor="text1"/>
          <w:sz w:val="32"/>
          <w:szCs w:val="32"/>
        </w:rPr>
        <w:t>政府采购工程支出</w:t>
      </w:r>
      <w:bookmarkEnd w:id="89"/>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90" w:name="OLE_LINK48"/>
      <w:r>
        <w:rPr>
          <w:rFonts w:hint="eastAsia" w:ascii="仿宋_GB2312" w:eastAsia="仿宋_GB2312"/>
          <w:color w:val="000000" w:themeColor="text1"/>
          <w:sz w:val="32"/>
          <w:szCs w:val="32"/>
        </w:rPr>
        <w:t>政府采购服务支出</w:t>
      </w:r>
      <w:bookmarkEnd w:id="90"/>
      <w:r>
        <w:rPr>
          <w:rFonts w:hint="eastAsia" w:ascii="仿宋_GB2312" w:eastAsia="仿宋_GB2312"/>
          <w:sz w:val="32"/>
          <w:szCs w:val="32"/>
        </w:rPr>
        <w:t>0</w:t>
      </w:r>
      <w:r>
        <w:rPr>
          <w:rFonts w:hint="eastAsia" w:ascii="仿宋_GB2312" w:eastAsia="仿宋_GB2312"/>
          <w:color w:val="000000" w:themeColor="text1"/>
          <w:sz w:val="32"/>
          <w:szCs w:val="32"/>
        </w:rPr>
        <w:t>万元。</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七、其他重要事项的情况</w:t>
      </w:r>
    </w:p>
    <w:p>
      <w:pPr>
        <w:spacing w:line="540" w:lineRule="exact"/>
        <w:ind w:firstLine="643" w:firstLineChars="200"/>
        <w:rPr>
          <w:rFonts w:ascii="楷体_GB2312" w:eastAsia="楷体_GB2312"/>
          <w:b/>
          <w:bCs/>
          <w:color w:val="000000" w:themeColor="text1"/>
          <w:sz w:val="32"/>
          <w:szCs w:val="32"/>
        </w:rPr>
      </w:pPr>
      <w:r>
        <w:rPr>
          <w:rFonts w:hint="eastAsia" w:ascii="楷体_GB2312" w:eastAsia="楷体_GB2312"/>
          <w:b/>
          <w:bCs/>
          <w:color w:val="000000" w:themeColor="text1"/>
          <w:sz w:val="32"/>
          <w:szCs w:val="32"/>
        </w:rPr>
        <w:t>（一）国有资产占用情况说明</w:t>
      </w:r>
    </w:p>
    <w:p>
      <w:pPr>
        <w:spacing w:line="540" w:lineRule="exact"/>
        <w:ind w:firstLine="640" w:firstLineChars="200"/>
        <w:rPr>
          <w:rFonts w:ascii="仿宋_GB2312" w:eastAsia="仿宋_GB2312"/>
          <w:color w:val="000000" w:themeColor="text1"/>
          <w:sz w:val="32"/>
          <w:szCs w:val="32"/>
        </w:rPr>
      </w:pPr>
      <w:bookmarkStart w:id="91" w:name="OLE_LINK97"/>
      <w:r>
        <w:rPr>
          <w:rFonts w:hint="eastAsia" w:ascii="仿宋_GB2312" w:eastAsia="仿宋_GB2312"/>
          <w:color w:val="000000" w:themeColor="text1"/>
          <w:sz w:val="32"/>
          <w:szCs w:val="32"/>
        </w:rPr>
        <w:t>截至2018年12月31日，单位共有车辆</w:t>
      </w:r>
      <w:r>
        <w:rPr>
          <w:rFonts w:hint="eastAsia" w:ascii="仿宋_GB2312" w:eastAsia="仿宋_GB2312"/>
          <w:sz w:val="32"/>
          <w:szCs w:val="32"/>
        </w:rPr>
        <w:t>2</w:t>
      </w:r>
      <w:r>
        <w:rPr>
          <w:rFonts w:hint="eastAsia" w:ascii="仿宋_GB2312" w:eastAsia="仿宋_GB2312"/>
          <w:color w:val="000000" w:themeColor="text1"/>
          <w:sz w:val="32"/>
          <w:szCs w:val="32"/>
        </w:rPr>
        <w:t>辆，价值</w:t>
      </w:r>
      <w:r>
        <w:rPr>
          <w:rFonts w:hint="eastAsia" w:ascii="仿宋_GB2312" w:eastAsia="仿宋_GB2312"/>
          <w:sz w:val="32"/>
          <w:szCs w:val="32"/>
        </w:rPr>
        <w:t>57.23</w:t>
      </w:r>
      <w:r>
        <w:rPr>
          <w:rFonts w:hint="eastAsia" w:ascii="仿宋_GB2312" w:eastAsia="仿宋_GB2312"/>
          <w:color w:val="000000" w:themeColor="text1"/>
          <w:sz w:val="32"/>
          <w:szCs w:val="32"/>
        </w:rPr>
        <w:t>万元，其中：部级领导干部用车</w:t>
      </w:r>
      <w:r>
        <w:rPr>
          <w:rFonts w:hint="eastAsia" w:ascii="仿宋_GB2312" w:eastAsia="仿宋_GB2312"/>
          <w:sz w:val="32"/>
          <w:szCs w:val="32"/>
        </w:rPr>
        <w:t>0</w:t>
      </w:r>
      <w:r>
        <w:rPr>
          <w:rFonts w:hint="eastAsia" w:ascii="仿宋_GB2312" w:eastAsia="仿宋_GB2312"/>
          <w:color w:val="000000" w:themeColor="text1"/>
          <w:sz w:val="32"/>
          <w:szCs w:val="32"/>
        </w:rPr>
        <w:t>辆、主要领导干部用车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辆、机要通信用车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辆、应急保障用车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辆、执法执勤用车</w:t>
      </w:r>
      <w:r>
        <w:rPr>
          <w:rFonts w:hint="eastAsia" w:ascii="仿宋_GB2312" w:eastAsia="仿宋_GB2312"/>
          <w:sz w:val="32"/>
          <w:szCs w:val="32"/>
        </w:rPr>
        <w:t>1</w:t>
      </w:r>
      <w:r>
        <w:rPr>
          <w:rFonts w:hint="eastAsia" w:ascii="仿宋_GB2312" w:eastAsia="仿宋_GB2312"/>
          <w:color w:val="000000" w:themeColor="text1"/>
          <w:sz w:val="32"/>
          <w:szCs w:val="32"/>
        </w:rPr>
        <w:t>辆、特种专业技术用车</w:t>
      </w:r>
      <w:r>
        <w:rPr>
          <w:rFonts w:hint="eastAsia" w:ascii="仿宋_GB2312" w:eastAsia="仿宋_GB2312"/>
          <w:sz w:val="32"/>
          <w:szCs w:val="32"/>
        </w:rPr>
        <w:t>0</w:t>
      </w:r>
      <w:r>
        <w:rPr>
          <w:rFonts w:hint="eastAsia" w:ascii="仿宋_GB2312" w:eastAsia="仿宋_GB2312"/>
          <w:color w:val="000000" w:themeColor="text1"/>
          <w:sz w:val="32"/>
          <w:szCs w:val="32"/>
        </w:rPr>
        <w:t>辆、离退休干部用车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w:t>
      </w:r>
      <w:r>
        <w:rPr>
          <w:rFonts w:ascii="仿宋_GB2312" w:eastAsia="仿宋_GB2312"/>
          <w:color w:val="000000" w:themeColor="text1"/>
          <w:sz w:val="32"/>
          <w:szCs w:val="32"/>
        </w:rPr>
        <w:t>1</w:t>
      </w:r>
      <w:r>
        <w:rPr>
          <w:rFonts w:hint="eastAsia" w:ascii="仿宋_GB2312" w:eastAsia="仿宋_GB2312"/>
          <w:color w:val="000000" w:themeColor="text1"/>
          <w:sz w:val="32"/>
          <w:szCs w:val="32"/>
        </w:rPr>
        <w:t>辆，其他用车主要是：</w:t>
      </w:r>
      <w:r>
        <w:rPr>
          <w:rFonts w:ascii="仿宋_GB2312" w:eastAsia="仿宋_GB2312"/>
          <w:color w:val="000000" w:themeColor="text1"/>
          <w:sz w:val="32"/>
          <w:szCs w:val="32"/>
        </w:rPr>
        <w:t>食品快速检测车；</w:t>
      </w:r>
      <w:r>
        <w:rPr>
          <w:rFonts w:hint="eastAsia" w:ascii="仿宋_GB2312" w:eastAsia="仿宋_GB2312"/>
          <w:color w:val="000000" w:themeColor="text1"/>
          <w:sz w:val="32"/>
          <w:szCs w:val="32"/>
        </w:rPr>
        <w:t>单位价值50万元以上通用设备</w:t>
      </w:r>
      <w:r>
        <w:rPr>
          <w:rFonts w:hint="eastAsia" w:ascii="仿宋_GB2312" w:eastAsia="仿宋_GB2312"/>
          <w:sz w:val="32"/>
          <w:szCs w:val="32"/>
        </w:rPr>
        <w:t>0</w:t>
      </w:r>
      <w:r>
        <w:rPr>
          <w:rFonts w:hint="eastAsia" w:ascii="仿宋_GB2312" w:eastAsia="仿宋_GB2312"/>
          <w:color w:val="000000" w:themeColor="text1"/>
          <w:sz w:val="32"/>
          <w:szCs w:val="32"/>
        </w:rPr>
        <w:t>台（套）、单位价值100万元以上专用设备</w:t>
      </w:r>
      <w:r>
        <w:rPr>
          <w:rFonts w:hint="eastAsia" w:ascii="仿宋_GB2312" w:eastAsia="仿宋_GB2312"/>
          <w:sz w:val="32"/>
          <w:szCs w:val="32"/>
        </w:rPr>
        <w:t>0</w:t>
      </w:r>
      <w:r>
        <w:rPr>
          <w:rFonts w:hint="eastAsia" w:ascii="仿宋_GB2312" w:eastAsia="仿宋_GB2312"/>
          <w:color w:val="000000" w:themeColor="text1"/>
          <w:sz w:val="32"/>
          <w:szCs w:val="32"/>
        </w:rPr>
        <w:t>台（套）。</w:t>
      </w:r>
      <w:bookmarkEnd w:id="91"/>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（二）预算绩效情况的说明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2018年度，本部门单位预算绩效自评情况：</w:t>
      </w:r>
      <w:r>
        <w:rPr>
          <w:rFonts w:ascii="仿宋_GB2312" w:eastAsia="仿宋_GB2312"/>
          <w:sz w:val="32"/>
          <w:szCs w:val="32"/>
        </w:rPr>
        <w:t>本年度开展预算绩效管理和绩效自评工作，以强化单位职能为核心，通过建立科学合理的绩效机制，客观准确的评价我单位项目支出绩效，不断完善绩效评价体系，加强监督检查和考核工作。我单位在实际执行过程中注重结果导向、强调成本效益、硬化责任约束，不断加强绩效管理队伍建设，提升业务素质，提高预算管理水平和政策实施效果，实现预算和绩效管理一体，着力提高财政资源配置效率和使用效益，全面提升我单位公共服务水平。
英吉沙县食品药品监督管理局2018年度部门预算总额为33.40万元，执行金额为33.40万元，预算执行率为100%。本次自评共涉及项目数3个，其中已完成项目3个、未完成项目0个，项目总体完成率为100%，各项目支出管理过程较为规范，预期绩效目标完成情况良好。通过本次自评全面总结了项目实施过程中的经验及不足，为2019年度预算绩效管理工作开展奠定基础。</w:t>
      </w:r>
    </w:p>
    <w:p>
      <w:pPr>
        <w:spacing w:line="540" w:lineRule="exact"/>
        <w:ind w:left="-1" w:right="-1" w:firstLine="646"/>
        <w:jc w:val="left"/>
      </w:pPr>
      <w:r>
        <w:rPr>
          <w:rFonts w:ascii="仿宋_GB2312" w:hAnsi="仿宋_GB2312" w:eastAsia="仿宋_GB2312" w:cs="仿宋_GB2312"/>
          <w:b w:val="0"/>
          <w:color w:val="000000"/>
          <w:sz w:val="32"/>
          <w:u w:val="none"/>
        </w:rPr>
        <w:t>1、公共卫生专项项目绩效自评综述：根据年初设定的绩效目标，该项目绩效自评得分为94分。项目全年预算数为9.7万元，执行数为9.7万元，完成预算的100%。主要产出和效果：强化我县食品药品管理处置能力，着重解决各乡镇食用农产品批发市场、超市、菜市场零售摊位销售的食用农产品安全违法犯罪行为。发现的问题及原因：项目执行前期的规划及实施方案应该更加详细，综合考虑实际情况，使项目实施的更加顺畅，更加高效。下一步改进措施： 重视预算支出绩效评估工作，成立了绩效评估领导小组，严格预算执行，按规定对财务收支情况进行通报，加强了全年预算管理。</w:t>
      </w:r>
    </w:p>
    <w:p>
      <w:pPr>
        <w:spacing w:line="540" w:lineRule="exact"/>
        <w:ind w:left="-1" w:right="-1" w:firstLine="646"/>
        <w:jc w:val="left"/>
      </w:pPr>
      <w:r>
        <w:rPr>
          <w:rFonts w:ascii="仿宋_GB2312" w:hAnsi="仿宋_GB2312" w:eastAsia="仿宋_GB2312" w:cs="仿宋_GB2312"/>
          <w:b w:val="0"/>
          <w:color w:val="000000"/>
          <w:sz w:val="32"/>
          <w:u w:val="none"/>
        </w:rPr>
        <w:t>2、重点（食品快速检测车）项目绩效自评综述：根据年初设定的绩效目标，该项目绩效自评得分为94分。项目全年预算数为16.24万元，执行数为16.24万元，完成预算的100%。主要产出和效果：对辖区范围内生产经营的97批次食用农产品进行了监督抽检。其中，食品抽检合格的样品97批次，合格率为100%。助力地方经济，造福区域百姓，对保护百姓生命健康、维护群众利益、维护社会安全，起到了举足轻重的作用，是一项人民满意的项目。发现的问题及原因：无。下一步改进措施： 跟上级部门协商，以跟标形式实施开展的有效落实。</w:t>
      </w:r>
    </w:p>
    <w:p>
      <w:pPr>
        <w:spacing w:line="540" w:lineRule="exact"/>
        <w:ind w:left="-1" w:right="-1" w:firstLine="646"/>
        <w:jc w:val="left"/>
      </w:pPr>
      <w:r>
        <w:rPr>
          <w:rFonts w:ascii="仿宋_GB2312" w:hAnsi="仿宋_GB2312" w:eastAsia="仿宋_GB2312" w:cs="仿宋_GB2312"/>
          <w:b w:val="0"/>
          <w:color w:val="000000"/>
          <w:sz w:val="32"/>
          <w:u w:val="none"/>
        </w:rPr>
        <w:t>3、食用农产品抽检项目绩效自评综述：根据年初设定的绩效目标，该项目绩效自评得分为92分。项目全年预算数为7.46万元，执行数为7.46万元，完成预算的100%。主要产出和效果：对辖区范围内生产经营的97批次食用农产品进行了监督抽检。其中，食品抽检合格的样品97批次，合格率为100%。助力地方经济，造福区域百姓，对保护百姓生命健康、维护群众利益、维护社会稳固安全，起到了举足轻重的作用，是一项人民满意的项目。发现的问题及原因：无。下一步改进措施： 项目资料齐全并及时归档，不定期对项目进度情况进行督导检查，对检查过程中发现的问题及时督促整改，确保项目按时保质完成。</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exact"/>
        <w:ind w:firstLine="646"/>
        <w:jc w:val="left"/>
        <w:rPr>
          <w:rFonts w:ascii="仿宋_GB2312" w:eastAsia="仿宋_GB2312"/>
          <w:sz w:val="32"/>
          <w:szCs w:val="32"/>
        </w:rPr>
      </w:pPr>
      <w:r>
        <w:rPr>
          <w:rFonts w:hint="eastAsia" w:ascii="仿宋_GB2312" w:eastAsia="仿宋_GB2312"/>
          <w:sz w:val="32"/>
          <w:szCs w:val="32"/>
        </w:rPr>
        <w:t>有关项目自评情况可附项目支出绩效自评表。</w:t>
      </w:r>
    </w:p>
    <w:p>
      <w:pPr>
        <w:spacing w:line="540" w:lineRule="exact"/>
        <w:jc w:val="center"/>
        <w:rPr>
          <w:rFonts w:ascii="黑体" w:hAnsi="黑体" w:eastAsia="黑体"/>
          <w:sz w:val="32"/>
          <w:szCs w:val="32"/>
        </w:rPr>
      </w:pPr>
      <w:r>
        <w:rPr>
          <w:rFonts w:hint="eastAsia" w:ascii="黑体" w:hAnsi="黑体" w:eastAsia="黑体"/>
          <w:sz w:val="32"/>
          <w:szCs w:val="32"/>
        </w:rPr>
        <w:t>第三部分 专业名词解释</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40" w:lineRule="exact"/>
        <w:ind w:firstLine="640" w:firstLineChars="200"/>
        <w:rPr>
          <w:rFonts w:ascii="仿宋_GB2312" w:hAnsi="Calibri" w:eastAsia="仿宋_GB2312"/>
          <w:color w:val="000000" w:themeColor="text1"/>
          <w:sz w:val="32"/>
          <w:szCs w:val="32"/>
          <w:lang w:val="en-GB"/>
        </w:rPr>
      </w:pPr>
      <w:r>
        <w:rPr>
          <w:rFonts w:hint="eastAsia" w:ascii="仿宋_GB2312" w:eastAsia="仿宋_GB2312"/>
          <w:color w:val="000000" w:themeColor="text1"/>
          <w:sz w:val="32"/>
          <w:szCs w:val="32"/>
        </w:rPr>
        <w:t>本单位支出功能分类说明</w:t>
      </w:r>
      <w:r>
        <w:rPr>
          <w:rFonts w:hint="eastAsia" w:ascii="仿宋_GB2312" w:hAnsi="Calibri" w:eastAsia="仿宋_GB2312"/>
          <w:color w:val="000000" w:themeColor="text1"/>
          <w:sz w:val="32"/>
          <w:szCs w:val="32"/>
          <w:lang w:val="en-GB"/>
        </w:rPr>
        <w:t>。</w:t>
      </w:r>
      <w:r>
        <w:rPr>
          <w:rFonts w:hint="eastAsia" w:ascii="仿宋_GB2312" w:eastAsia="仿宋_GB2312"/>
          <w:sz w:val="32"/>
          <w:szCs w:val="32"/>
        </w:rPr>
        <w:t>210（类）10（款）01（项）指：行政运行。210（类）10（款）02（项）指：一般行政管理事务。210（类）10（款）16（项）指：食品安全事务。221（类）02（款）01（项）指：住房公积金。210（类）04（款）09（项）指：重大公共卫生专项。208（类）05（款）05（项）指：机关事业单位基本养老保险缴费支出。</w:t>
      </w:r>
    </w:p>
    <w:p>
      <w:pPr>
        <w:spacing w:line="540" w:lineRule="exact"/>
        <w:ind w:firstLine="640" w:firstLineChars="200"/>
        <w:rPr>
          <w:rFonts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spacing w:line="540" w:lineRule="exact"/>
        <w:ind w:firstLine="643" w:firstLineChars="200"/>
        <w:rPr>
          <w:rFonts w:ascii="仿宋_GB2312" w:eastAsia="仿宋_GB2312"/>
          <w:b/>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第四部分 部门决算公开的8张报表（见附表）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firstLine="640" w:firstLineChars="200"/>
        <w:rPr>
          <w:rFonts w:hint="eastAsia" w:ascii="仿宋_GB2312" w:eastAsia="仿宋_GB2312"/>
          <w:sz w:val="32"/>
          <w:szCs w:val="32"/>
        </w:rPr>
      </w:pPr>
      <w:r>
        <w:rPr>
          <w:rFonts w:hint="eastAsia" w:ascii="仿宋_GB2312" w:hAnsi="宋体" w:eastAsia="仿宋_GB2312"/>
          <w:sz w:val="32"/>
          <w:szCs w:val="32"/>
        </w:rPr>
        <w:t>八、</w:t>
      </w:r>
      <w:r>
        <w:rPr>
          <w:rFonts w:hint="eastAsia" w:ascii="仿宋_GB2312" w:eastAsia="仿宋_GB2312"/>
          <w:sz w:val="32"/>
          <w:szCs w:val="32"/>
        </w:rPr>
        <w:t>《政府性基金预算财政拨款收入支出决算表》</w:t>
      </w:r>
    </w:p>
    <w:p>
      <w:pPr>
        <w:spacing w:line="540" w:lineRule="exact"/>
        <w:ind w:firstLine="640" w:firstLineChars="200"/>
        <w:rPr>
          <w:rFonts w:hint="eastAsia" w:ascii="仿宋_GB2312" w:eastAsia="仿宋_GB2312"/>
          <w:sz w:val="32"/>
          <w:szCs w:val="32"/>
        </w:rPr>
      </w:pPr>
    </w:p>
    <w:p>
      <w:pPr>
        <w:spacing w:line="540" w:lineRule="exact"/>
        <w:ind w:firstLine="640" w:firstLineChars="200"/>
        <w:rPr>
          <w:rFonts w:hint="eastAsia" w:ascii="仿宋_GB2312" w:eastAsia="仿宋_GB2312"/>
          <w:sz w:val="32"/>
          <w:szCs w:val="32"/>
        </w:rPr>
      </w:pPr>
    </w:p>
    <w:p>
      <w:pPr>
        <w:spacing w:line="540" w:lineRule="exact"/>
        <w:ind w:firstLine="640" w:firstLineChars="200"/>
        <w:rPr>
          <w:rFonts w:hint="eastAsia" w:ascii="仿宋_GB2312" w:eastAsia="仿宋_GB2312"/>
          <w:sz w:val="32"/>
          <w:szCs w:val="32"/>
        </w:rPr>
      </w:pPr>
    </w:p>
    <w:p>
      <w:pPr>
        <w:spacing w:line="540" w:lineRule="exact"/>
        <w:rPr>
          <w:rFonts w:hint="eastAsia" w:ascii="仿宋_GB2312"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40" w:lineRule="exact"/>
        <w:ind w:firstLine="3200" w:firstLineChars="1000"/>
        <w:jc w:val="center"/>
        <w:textAlignment w:val="auto"/>
        <w:outlineLvl w:val="9"/>
        <w:rPr>
          <w:rFonts w:ascii="仿宋_GB2312" w:eastAsia="仿宋_GB2312"/>
          <w:sz w:val="32"/>
          <w:szCs w:val="32"/>
        </w:rPr>
      </w:pPr>
      <w:r>
        <w:rPr>
          <w:rFonts w:ascii="仿宋_GB2312" w:eastAsia="仿宋_GB2312"/>
          <w:sz w:val="32"/>
          <w:szCs w:val="32"/>
        </w:rPr>
        <w:t>英吉沙县食品药品监督管理局</w:t>
      </w:r>
    </w:p>
    <w:p>
      <w:pPr>
        <w:keepNext w:val="0"/>
        <w:keepLines w:val="0"/>
        <w:pageBreakBefore w:val="0"/>
        <w:widowControl w:val="0"/>
        <w:kinsoku/>
        <w:wordWrap/>
        <w:overflowPunct/>
        <w:topLinePunct w:val="0"/>
        <w:autoSpaceDE/>
        <w:autoSpaceDN/>
        <w:bidi w:val="0"/>
        <w:adjustRightInd/>
        <w:snapToGrid/>
        <w:spacing w:line="540" w:lineRule="exact"/>
        <w:ind w:firstLine="3200" w:firstLineChars="1000"/>
        <w:jc w:val="center"/>
        <w:textAlignment w:val="auto"/>
        <w:outlineLvl w:val="9"/>
        <w:rPr>
          <w:rFonts w:hint="eastAsia" w:ascii="仿宋_GB2312" w:eastAsia="仿宋_GB2312"/>
          <w:sz w:val="32"/>
          <w:szCs w:val="32"/>
          <w:lang w:val="en-US" w:eastAsia="zh-CN"/>
        </w:rPr>
        <w:sectPr>
          <w:footerReference r:id="rId3" w:type="default"/>
          <w:footerReference r:id="rId4" w:type="even"/>
          <w:pgSz w:w="11906" w:h="16838"/>
          <w:pgMar w:top="2041" w:right="1276" w:bottom="2041" w:left="1276" w:header="851" w:footer="1814" w:gutter="0"/>
          <w:pgNumType w:fmt="numberInDash"/>
          <w:cols w:space="425" w:num="1"/>
          <w:docGrid w:type="lines" w:linePitch="435" w:charSpace="-1675"/>
        </w:sectPr>
      </w:pPr>
      <w:r>
        <w:rPr>
          <w:rFonts w:hint="eastAsia" w:ascii="仿宋_GB2312" w:eastAsia="仿宋_GB2312"/>
          <w:sz w:val="32"/>
          <w:szCs w:val="32"/>
          <w:lang w:val="en-US" w:eastAsia="zh-CN"/>
        </w:rPr>
        <w:t>2019年8月15日</w:t>
      </w:r>
    </w:p>
    <w:p>
      <w:pPr>
        <w:spacing w:line="540" w:lineRule="exact"/>
        <w:ind w:firstLine="640" w:firstLineChars="200"/>
        <w:rPr>
          <w:rFonts w:hint="eastAsia" w:ascii="仿宋_GB2312" w:eastAsia="仿宋_GB2312"/>
          <w:sz w:val="32"/>
          <w:szCs w:val="32"/>
        </w:rPr>
        <w:sectPr>
          <w:footerReference r:id="rId5" w:type="default"/>
          <w:footerReference r:id="rId6" w:type="even"/>
          <w:pgSz w:w="11906" w:h="16838"/>
          <w:pgMar w:top="2041" w:right="1276" w:bottom="2041" w:left="1276" w:header="851" w:footer="1814" w:gutter="0"/>
          <w:pgNumType w:fmt="numberInDash"/>
          <w:cols w:space="425" w:num="1"/>
          <w:docGrid w:type="lines" w:linePitch="435" w:charSpace="-1675"/>
        </w:sectPr>
      </w:pPr>
    </w:p>
    <w:p>
      <w:pPr>
        <w:spacing w:line="540" w:lineRule="exact"/>
        <w:rPr>
          <w:rFonts w:ascii="仿宋_GB2312"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9631" w:y="37"/>
      <w:jc w:val="right"/>
      <w:rPr>
        <w:rStyle w:val="9"/>
        <w:rFonts w:ascii="宋体" w:hAnsi="宋体" w:eastAsia="宋体"/>
        <w:sz w:val="28"/>
      </w:rPr>
    </w:pPr>
    <w:r>
      <w:rPr>
        <w:rStyle w:val="9"/>
        <w:rFonts w:ascii="宋体" w:hAnsi="宋体" w:eastAsia="宋体"/>
        <w:sz w:val="28"/>
      </w:rPr>
      <w:fldChar w:fldCharType="begin"/>
    </w:r>
    <w:r>
      <w:rPr>
        <w:rStyle w:val="9"/>
        <w:rFonts w:ascii="宋体" w:hAnsi="宋体" w:eastAsia="宋体"/>
        <w:sz w:val="28"/>
      </w:rPr>
      <w:instrText xml:space="preserve"> PAGE </w:instrText>
    </w:r>
    <w:r>
      <w:rPr>
        <w:rStyle w:val="9"/>
        <w:rFonts w:ascii="宋体" w:hAnsi="宋体" w:eastAsia="宋体"/>
        <w:sz w:val="28"/>
      </w:rPr>
      <w:fldChar w:fldCharType="separate"/>
    </w:r>
    <w:r>
      <w:rPr>
        <w:rStyle w:val="9"/>
        <w:rFonts w:ascii="宋体" w:hAnsi="宋体" w:eastAsia="宋体"/>
        <w:sz w:val="28"/>
      </w:rPr>
      <w:t>- 1 -</w:t>
    </w:r>
    <w:r>
      <w:rPr>
        <w:rStyle w:val="9"/>
        <w:rFonts w:ascii="宋体" w:hAnsi="宋体" w:eastAsia="宋体"/>
        <w:sz w:val="28"/>
      </w:rPr>
      <w:fldChar w:fldCharType="end"/>
    </w:r>
    <w:r>
      <w:rPr>
        <w:rStyle w:val="9"/>
        <w:rFonts w:hint="eastAsia" w:ascii="宋体" w:hAnsi="宋体" w:eastAsia="宋体"/>
        <w:sz w:val="28"/>
      </w:rPr>
      <w:t xml:space="preserve"> </w:t>
    </w:r>
  </w:p>
  <w:p>
    <w:pPr>
      <w:pStyle w:val="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1756" w:y="37"/>
      <w:rPr>
        <w:rStyle w:val="9"/>
        <w:rFonts w:ascii="宋体" w:hAnsi="宋体" w:eastAsia="宋体"/>
        <w:sz w:val="28"/>
        <w:szCs w:val="28"/>
      </w:rPr>
    </w:pPr>
    <w:r>
      <w:rPr>
        <w:rStyle w:val="9"/>
        <w:rFonts w:ascii="宋体" w:hAnsi="宋体" w:eastAsia="宋体"/>
        <w:sz w:val="28"/>
        <w:szCs w:val="28"/>
      </w:rPr>
      <w:fldChar w:fldCharType="begin"/>
    </w:r>
    <w:r>
      <w:rPr>
        <w:rStyle w:val="9"/>
        <w:rFonts w:ascii="宋体" w:hAnsi="宋体" w:eastAsia="宋体"/>
        <w:sz w:val="28"/>
        <w:szCs w:val="28"/>
      </w:rPr>
      <w:instrText xml:space="preserve">PAGE  </w:instrText>
    </w:r>
    <w:r>
      <w:rPr>
        <w:rStyle w:val="9"/>
        <w:rFonts w:ascii="宋体" w:hAnsi="宋体" w:eastAsia="宋体"/>
        <w:sz w:val="28"/>
        <w:szCs w:val="28"/>
      </w:rPr>
      <w:fldChar w:fldCharType="separate"/>
    </w:r>
    <w:r>
      <w:rPr>
        <w:rStyle w:val="9"/>
        <w:rFonts w:ascii="宋体" w:hAnsi="宋体" w:eastAsia="宋体"/>
        <w:sz w:val="28"/>
        <w:szCs w:val="28"/>
      </w:rPr>
      <w:t>- 12 -</w:t>
    </w:r>
    <w:r>
      <w:rPr>
        <w:rStyle w:val="9"/>
        <w:rFonts w:ascii="宋体" w:hAnsi="宋体" w:eastAsia="宋体"/>
        <w:sz w:val="28"/>
        <w:szCs w:val="28"/>
      </w:rPr>
      <w:fldChar w:fldCharType="end"/>
    </w:r>
  </w:p>
  <w:p>
    <w:pPr>
      <w:pStyle w:val="4"/>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9631" w:y="37"/>
      <w:jc w:val="right"/>
      <w:rPr>
        <w:rStyle w:val="9"/>
        <w:rFonts w:ascii="宋体" w:hAnsi="宋体" w:eastAsia="宋体"/>
        <w:sz w:val="28"/>
      </w:rPr>
    </w:pPr>
    <w:r>
      <w:rPr>
        <w:rStyle w:val="9"/>
        <w:rFonts w:ascii="宋体" w:hAnsi="宋体" w:eastAsia="宋体"/>
        <w:sz w:val="28"/>
      </w:rPr>
      <w:fldChar w:fldCharType="begin"/>
    </w:r>
    <w:r>
      <w:rPr>
        <w:rStyle w:val="9"/>
        <w:rFonts w:ascii="宋体" w:hAnsi="宋体" w:eastAsia="宋体"/>
        <w:sz w:val="28"/>
      </w:rPr>
      <w:instrText xml:space="preserve"> PAGE </w:instrText>
    </w:r>
    <w:r>
      <w:rPr>
        <w:rStyle w:val="9"/>
        <w:rFonts w:ascii="宋体" w:hAnsi="宋体" w:eastAsia="宋体"/>
        <w:sz w:val="28"/>
      </w:rPr>
      <w:fldChar w:fldCharType="separate"/>
    </w:r>
    <w:r>
      <w:rPr>
        <w:rStyle w:val="9"/>
        <w:rFonts w:ascii="宋体" w:hAnsi="宋体" w:eastAsia="宋体"/>
        <w:sz w:val="28"/>
      </w:rPr>
      <w:t>- 1 -</w:t>
    </w:r>
    <w:r>
      <w:rPr>
        <w:rStyle w:val="9"/>
        <w:rFonts w:ascii="宋体" w:hAnsi="宋体" w:eastAsia="宋体"/>
        <w:sz w:val="28"/>
      </w:rPr>
      <w:fldChar w:fldCharType="end"/>
    </w:r>
    <w:r>
      <w:rPr>
        <w:rStyle w:val="9"/>
        <w:rFonts w:hint="eastAsia" w:ascii="宋体" w:hAnsi="宋体" w:eastAsia="宋体"/>
        <w:sz w:val="28"/>
      </w:rPr>
      <w:t xml:space="preserve"> </w:t>
    </w:r>
  </w:p>
  <w:p>
    <w:pPr>
      <w:pStyle w:val="4"/>
      <w:ind w:right="360"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1756" w:y="37"/>
      <w:rPr>
        <w:rStyle w:val="9"/>
        <w:rFonts w:ascii="宋体" w:hAnsi="宋体" w:eastAsia="宋体"/>
        <w:sz w:val="28"/>
        <w:szCs w:val="28"/>
      </w:rPr>
    </w:pPr>
    <w:r>
      <w:rPr>
        <w:rStyle w:val="9"/>
        <w:rFonts w:ascii="宋体" w:hAnsi="宋体" w:eastAsia="宋体"/>
        <w:sz w:val="28"/>
        <w:szCs w:val="28"/>
      </w:rPr>
      <w:fldChar w:fldCharType="begin"/>
    </w:r>
    <w:r>
      <w:rPr>
        <w:rStyle w:val="9"/>
        <w:rFonts w:ascii="宋体" w:hAnsi="宋体" w:eastAsia="宋体"/>
        <w:sz w:val="28"/>
        <w:szCs w:val="28"/>
      </w:rPr>
      <w:instrText xml:space="preserve">PAGE  </w:instrText>
    </w:r>
    <w:r>
      <w:rPr>
        <w:rStyle w:val="9"/>
        <w:rFonts w:ascii="宋体" w:hAnsi="宋体" w:eastAsia="宋体"/>
        <w:sz w:val="28"/>
        <w:szCs w:val="28"/>
      </w:rPr>
      <w:fldChar w:fldCharType="separate"/>
    </w:r>
    <w:r>
      <w:rPr>
        <w:rStyle w:val="9"/>
        <w:rFonts w:ascii="宋体" w:hAnsi="宋体" w:eastAsia="宋体"/>
        <w:sz w:val="28"/>
        <w:szCs w:val="28"/>
      </w:rPr>
      <w:t>- 12 -</w:t>
    </w:r>
    <w:r>
      <w:rPr>
        <w:rStyle w:val="9"/>
        <w:rFonts w:ascii="宋体" w:hAnsi="宋体" w:eastAsia="宋体"/>
        <w:sz w:val="28"/>
        <w:szCs w:val="28"/>
      </w:rPr>
      <w:fldChar w:fldCharType="end"/>
    </w:r>
  </w:p>
  <w:p>
    <w:pPr>
      <w:pStyle w:val="4"/>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43568"/>
    <w:rsid w:val="00000A75"/>
    <w:rsid w:val="00003BF7"/>
    <w:rsid w:val="00005719"/>
    <w:rsid w:val="00007F37"/>
    <w:rsid w:val="00010976"/>
    <w:rsid w:val="0002118A"/>
    <w:rsid w:val="00021887"/>
    <w:rsid w:val="00022242"/>
    <w:rsid w:val="00040E57"/>
    <w:rsid w:val="00044097"/>
    <w:rsid w:val="00050E1F"/>
    <w:rsid w:val="00054305"/>
    <w:rsid w:val="00060E28"/>
    <w:rsid w:val="000635BD"/>
    <w:rsid w:val="00065838"/>
    <w:rsid w:val="00080DEB"/>
    <w:rsid w:val="00083BBE"/>
    <w:rsid w:val="00083EBE"/>
    <w:rsid w:val="00091B9F"/>
    <w:rsid w:val="000A2EE8"/>
    <w:rsid w:val="000A497E"/>
    <w:rsid w:val="000A7773"/>
    <w:rsid w:val="000B08C5"/>
    <w:rsid w:val="000B206D"/>
    <w:rsid w:val="000B2C8D"/>
    <w:rsid w:val="000B6AD4"/>
    <w:rsid w:val="000B6C14"/>
    <w:rsid w:val="000B7C75"/>
    <w:rsid w:val="000C1474"/>
    <w:rsid w:val="000C7811"/>
    <w:rsid w:val="000D21F9"/>
    <w:rsid w:val="000E0AB3"/>
    <w:rsid w:val="000E21E6"/>
    <w:rsid w:val="000E65F1"/>
    <w:rsid w:val="000E73E7"/>
    <w:rsid w:val="000E75AE"/>
    <w:rsid w:val="0010072E"/>
    <w:rsid w:val="00101D4F"/>
    <w:rsid w:val="0010481F"/>
    <w:rsid w:val="001128DE"/>
    <w:rsid w:val="00113241"/>
    <w:rsid w:val="0012066C"/>
    <w:rsid w:val="00123283"/>
    <w:rsid w:val="00124713"/>
    <w:rsid w:val="00124A31"/>
    <w:rsid w:val="00124B40"/>
    <w:rsid w:val="00133488"/>
    <w:rsid w:val="00133516"/>
    <w:rsid w:val="00137B91"/>
    <w:rsid w:val="00142400"/>
    <w:rsid w:val="00150BEF"/>
    <w:rsid w:val="00151A95"/>
    <w:rsid w:val="00157F86"/>
    <w:rsid w:val="00164EBC"/>
    <w:rsid w:val="001669CC"/>
    <w:rsid w:val="00166DAB"/>
    <w:rsid w:val="00166E4B"/>
    <w:rsid w:val="00167DB8"/>
    <w:rsid w:val="00170C1A"/>
    <w:rsid w:val="00171B68"/>
    <w:rsid w:val="00173DD7"/>
    <w:rsid w:val="00177527"/>
    <w:rsid w:val="00184AA3"/>
    <w:rsid w:val="00194099"/>
    <w:rsid w:val="001951FF"/>
    <w:rsid w:val="001A10E6"/>
    <w:rsid w:val="001A135B"/>
    <w:rsid w:val="001A1FDB"/>
    <w:rsid w:val="001A2A1A"/>
    <w:rsid w:val="001B3A06"/>
    <w:rsid w:val="001B5DF3"/>
    <w:rsid w:val="001C26F2"/>
    <w:rsid w:val="001C38EB"/>
    <w:rsid w:val="001C79E0"/>
    <w:rsid w:val="001D640A"/>
    <w:rsid w:val="001D65CB"/>
    <w:rsid w:val="001E197A"/>
    <w:rsid w:val="001E2962"/>
    <w:rsid w:val="001F0E21"/>
    <w:rsid w:val="001F2FE9"/>
    <w:rsid w:val="001F3267"/>
    <w:rsid w:val="001F6948"/>
    <w:rsid w:val="0020033F"/>
    <w:rsid w:val="00200C57"/>
    <w:rsid w:val="00207AD5"/>
    <w:rsid w:val="0021204D"/>
    <w:rsid w:val="002127E3"/>
    <w:rsid w:val="002146E7"/>
    <w:rsid w:val="00216FD0"/>
    <w:rsid w:val="00226DF0"/>
    <w:rsid w:val="00231C2E"/>
    <w:rsid w:val="00241293"/>
    <w:rsid w:val="00245135"/>
    <w:rsid w:val="002453A6"/>
    <w:rsid w:val="00247520"/>
    <w:rsid w:val="00251FC8"/>
    <w:rsid w:val="00256471"/>
    <w:rsid w:val="00257943"/>
    <w:rsid w:val="002608FE"/>
    <w:rsid w:val="00271D59"/>
    <w:rsid w:val="0027418F"/>
    <w:rsid w:val="00282470"/>
    <w:rsid w:val="00295B34"/>
    <w:rsid w:val="0029700A"/>
    <w:rsid w:val="002A7E48"/>
    <w:rsid w:val="002B1DA2"/>
    <w:rsid w:val="002B557B"/>
    <w:rsid w:val="002B5D8E"/>
    <w:rsid w:val="002C0FB9"/>
    <w:rsid w:val="002C4530"/>
    <w:rsid w:val="002D2B8C"/>
    <w:rsid w:val="002D34C1"/>
    <w:rsid w:val="002D76FA"/>
    <w:rsid w:val="002E189D"/>
    <w:rsid w:val="002E18D1"/>
    <w:rsid w:val="002E1B0E"/>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566D"/>
    <w:rsid w:val="003441F7"/>
    <w:rsid w:val="00344D62"/>
    <w:rsid w:val="00345984"/>
    <w:rsid w:val="00361388"/>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E4A05"/>
    <w:rsid w:val="003E5F5C"/>
    <w:rsid w:val="003E7D9E"/>
    <w:rsid w:val="003F37E0"/>
    <w:rsid w:val="00401A23"/>
    <w:rsid w:val="00401CA2"/>
    <w:rsid w:val="00405E6D"/>
    <w:rsid w:val="00411C55"/>
    <w:rsid w:val="00415648"/>
    <w:rsid w:val="00415BCE"/>
    <w:rsid w:val="0042015D"/>
    <w:rsid w:val="0042215C"/>
    <w:rsid w:val="00425950"/>
    <w:rsid w:val="00430B78"/>
    <w:rsid w:val="00441209"/>
    <w:rsid w:val="00443568"/>
    <w:rsid w:val="00444981"/>
    <w:rsid w:val="0045026B"/>
    <w:rsid w:val="004558AB"/>
    <w:rsid w:val="00457729"/>
    <w:rsid w:val="0047598D"/>
    <w:rsid w:val="004802CE"/>
    <w:rsid w:val="00486DB6"/>
    <w:rsid w:val="00487D16"/>
    <w:rsid w:val="004957F5"/>
    <w:rsid w:val="004976A5"/>
    <w:rsid w:val="004A0034"/>
    <w:rsid w:val="004A02D4"/>
    <w:rsid w:val="004A0690"/>
    <w:rsid w:val="004A2CA4"/>
    <w:rsid w:val="004A7A7B"/>
    <w:rsid w:val="004B401D"/>
    <w:rsid w:val="004B58A1"/>
    <w:rsid w:val="004B7BB8"/>
    <w:rsid w:val="004C351C"/>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23B8A"/>
    <w:rsid w:val="00532585"/>
    <w:rsid w:val="00533FA0"/>
    <w:rsid w:val="0054006F"/>
    <w:rsid w:val="00540C10"/>
    <w:rsid w:val="005464FA"/>
    <w:rsid w:val="00560650"/>
    <w:rsid w:val="00567FB5"/>
    <w:rsid w:val="005770C3"/>
    <w:rsid w:val="00577753"/>
    <w:rsid w:val="00581AD2"/>
    <w:rsid w:val="005857A0"/>
    <w:rsid w:val="00592D42"/>
    <w:rsid w:val="005A5B02"/>
    <w:rsid w:val="005B3245"/>
    <w:rsid w:val="005B6754"/>
    <w:rsid w:val="005B75C0"/>
    <w:rsid w:val="005C3143"/>
    <w:rsid w:val="005D311B"/>
    <w:rsid w:val="005D61D8"/>
    <w:rsid w:val="005E3B86"/>
    <w:rsid w:val="005E4E6B"/>
    <w:rsid w:val="005E6995"/>
    <w:rsid w:val="005E7C64"/>
    <w:rsid w:val="005F2A5A"/>
    <w:rsid w:val="005F2AEA"/>
    <w:rsid w:val="005F4FFE"/>
    <w:rsid w:val="00602C6F"/>
    <w:rsid w:val="00604ECA"/>
    <w:rsid w:val="006069FD"/>
    <w:rsid w:val="00610EE1"/>
    <w:rsid w:val="0061632B"/>
    <w:rsid w:val="006168AD"/>
    <w:rsid w:val="00621929"/>
    <w:rsid w:val="0062266C"/>
    <w:rsid w:val="006250CB"/>
    <w:rsid w:val="00627F36"/>
    <w:rsid w:val="006304D1"/>
    <w:rsid w:val="00631DA8"/>
    <w:rsid w:val="0063431E"/>
    <w:rsid w:val="00645C30"/>
    <w:rsid w:val="0065497B"/>
    <w:rsid w:val="00654E41"/>
    <w:rsid w:val="0067149A"/>
    <w:rsid w:val="0069278A"/>
    <w:rsid w:val="006A1C84"/>
    <w:rsid w:val="006A745B"/>
    <w:rsid w:val="006A78F4"/>
    <w:rsid w:val="006B0F85"/>
    <w:rsid w:val="006B4B06"/>
    <w:rsid w:val="006B4D0D"/>
    <w:rsid w:val="006B60E5"/>
    <w:rsid w:val="006B636C"/>
    <w:rsid w:val="006C1DED"/>
    <w:rsid w:val="006C3692"/>
    <w:rsid w:val="006D0B78"/>
    <w:rsid w:val="006D45B7"/>
    <w:rsid w:val="006D62B0"/>
    <w:rsid w:val="006F14EB"/>
    <w:rsid w:val="006F5BD8"/>
    <w:rsid w:val="007015B6"/>
    <w:rsid w:val="00701EC2"/>
    <w:rsid w:val="007021BE"/>
    <w:rsid w:val="00706C32"/>
    <w:rsid w:val="007106B4"/>
    <w:rsid w:val="007214A9"/>
    <w:rsid w:val="007214DF"/>
    <w:rsid w:val="007220B1"/>
    <w:rsid w:val="007302C1"/>
    <w:rsid w:val="0073120F"/>
    <w:rsid w:val="007314F0"/>
    <w:rsid w:val="0074240E"/>
    <w:rsid w:val="00742FA1"/>
    <w:rsid w:val="007476BA"/>
    <w:rsid w:val="00750798"/>
    <w:rsid w:val="00752BCF"/>
    <w:rsid w:val="0076538D"/>
    <w:rsid w:val="007714E5"/>
    <w:rsid w:val="00773D5E"/>
    <w:rsid w:val="00776FAF"/>
    <w:rsid w:val="00777229"/>
    <w:rsid w:val="007775E8"/>
    <w:rsid w:val="0078072D"/>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8043B9"/>
    <w:rsid w:val="0080628E"/>
    <w:rsid w:val="00807ACF"/>
    <w:rsid w:val="00821E76"/>
    <w:rsid w:val="008259BC"/>
    <w:rsid w:val="0083105A"/>
    <w:rsid w:val="00837040"/>
    <w:rsid w:val="008427AB"/>
    <w:rsid w:val="00847DCE"/>
    <w:rsid w:val="0085023C"/>
    <w:rsid w:val="00853966"/>
    <w:rsid w:val="00857827"/>
    <w:rsid w:val="00866A6C"/>
    <w:rsid w:val="008969FE"/>
    <w:rsid w:val="008A237C"/>
    <w:rsid w:val="008A2D2C"/>
    <w:rsid w:val="008A3633"/>
    <w:rsid w:val="008B2514"/>
    <w:rsid w:val="008B4607"/>
    <w:rsid w:val="008B5C78"/>
    <w:rsid w:val="008C030F"/>
    <w:rsid w:val="008C3836"/>
    <w:rsid w:val="008E28BD"/>
    <w:rsid w:val="008E4EAC"/>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40134"/>
    <w:rsid w:val="00943A3E"/>
    <w:rsid w:val="00944CCC"/>
    <w:rsid w:val="00945E7F"/>
    <w:rsid w:val="00947403"/>
    <w:rsid w:val="0095057C"/>
    <w:rsid w:val="009543BA"/>
    <w:rsid w:val="00954FB4"/>
    <w:rsid w:val="00960925"/>
    <w:rsid w:val="00970AB3"/>
    <w:rsid w:val="00982C13"/>
    <w:rsid w:val="00985DF4"/>
    <w:rsid w:val="00987E45"/>
    <w:rsid w:val="0099241E"/>
    <w:rsid w:val="009942F3"/>
    <w:rsid w:val="00994950"/>
    <w:rsid w:val="0099652B"/>
    <w:rsid w:val="009A0831"/>
    <w:rsid w:val="009A44FB"/>
    <w:rsid w:val="009A5CDE"/>
    <w:rsid w:val="009B3F92"/>
    <w:rsid w:val="009C3CE9"/>
    <w:rsid w:val="009C6A82"/>
    <w:rsid w:val="009D15D2"/>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55F77"/>
    <w:rsid w:val="00A72457"/>
    <w:rsid w:val="00A86966"/>
    <w:rsid w:val="00A872D8"/>
    <w:rsid w:val="00A912CC"/>
    <w:rsid w:val="00A970D1"/>
    <w:rsid w:val="00AA57AE"/>
    <w:rsid w:val="00AB0AFB"/>
    <w:rsid w:val="00AC002C"/>
    <w:rsid w:val="00AC1DD9"/>
    <w:rsid w:val="00AC4218"/>
    <w:rsid w:val="00AD3489"/>
    <w:rsid w:val="00AD3E2D"/>
    <w:rsid w:val="00AD51DD"/>
    <w:rsid w:val="00AE5C1B"/>
    <w:rsid w:val="00AE79D8"/>
    <w:rsid w:val="00AE7BAC"/>
    <w:rsid w:val="00AF09FB"/>
    <w:rsid w:val="00B00C16"/>
    <w:rsid w:val="00B03B3E"/>
    <w:rsid w:val="00B046A4"/>
    <w:rsid w:val="00B06382"/>
    <w:rsid w:val="00B0733F"/>
    <w:rsid w:val="00B10701"/>
    <w:rsid w:val="00B146E7"/>
    <w:rsid w:val="00B30B86"/>
    <w:rsid w:val="00B32A4F"/>
    <w:rsid w:val="00B358E2"/>
    <w:rsid w:val="00B40CB6"/>
    <w:rsid w:val="00B50AD6"/>
    <w:rsid w:val="00B51AB3"/>
    <w:rsid w:val="00B5337C"/>
    <w:rsid w:val="00B5340F"/>
    <w:rsid w:val="00B611F7"/>
    <w:rsid w:val="00B6765D"/>
    <w:rsid w:val="00B717C5"/>
    <w:rsid w:val="00B75463"/>
    <w:rsid w:val="00B90F21"/>
    <w:rsid w:val="00B93445"/>
    <w:rsid w:val="00B94F7E"/>
    <w:rsid w:val="00B95F83"/>
    <w:rsid w:val="00B965C5"/>
    <w:rsid w:val="00B96E34"/>
    <w:rsid w:val="00B9729A"/>
    <w:rsid w:val="00BB0177"/>
    <w:rsid w:val="00BB3A31"/>
    <w:rsid w:val="00BC2D65"/>
    <w:rsid w:val="00BD1F2C"/>
    <w:rsid w:val="00BD2BBE"/>
    <w:rsid w:val="00BD7EF8"/>
    <w:rsid w:val="00BE0FEE"/>
    <w:rsid w:val="00BE4817"/>
    <w:rsid w:val="00BE721C"/>
    <w:rsid w:val="00BF0DC7"/>
    <w:rsid w:val="00BF1F54"/>
    <w:rsid w:val="00C04782"/>
    <w:rsid w:val="00C04F2D"/>
    <w:rsid w:val="00C238F0"/>
    <w:rsid w:val="00C25CC6"/>
    <w:rsid w:val="00C31297"/>
    <w:rsid w:val="00C61A9B"/>
    <w:rsid w:val="00C732F1"/>
    <w:rsid w:val="00C8565C"/>
    <w:rsid w:val="00C92227"/>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20653"/>
    <w:rsid w:val="00D25C67"/>
    <w:rsid w:val="00D30DDB"/>
    <w:rsid w:val="00D334A9"/>
    <w:rsid w:val="00D36199"/>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7FDF"/>
    <w:rsid w:val="00E14EDE"/>
    <w:rsid w:val="00E242B2"/>
    <w:rsid w:val="00E31696"/>
    <w:rsid w:val="00E33E4C"/>
    <w:rsid w:val="00E44960"/>
    <w:rsid w:val="00E52F6A"/>
    <w:rsid w:val="00E545C9"/>
    <w:rsid w:val="00E55774"/>
    <w:rsid w:val="00E56018"/>
    <w:rsid w:val="00E64B7B"/>
    <w:rsid w:val="00E66654"/>
    <w:rsid w:val="00E74817"/>
    <w:rsid w:val="00E75B6D"/>
    <w:rsid w:val="00E76C2B"/>
    <w:rsid w:val="00E8294F"/>
    <w:rsid w:val="00E870C3"/>
    <w:rsid w:val="00E8738A"/>
    <w:rsid w:val="00E916E5"/>
    <w:rsid w:val="00E92F11"/>
    <w:rsid w:val="00E95399"/>
    <w:rsid w:val="00E95FBD"/>
    <w:rsid w:val="00E9654C"/>
    <w:rsid w:val="00EA1A1C"/>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113F4"/>
    <w:rsid w:val="00F13479"/>
    <w:rsid w:val="00F14CE8"/>
    <w:rsid w:val="00F1625A"/>
    <w:rsid w:val="00F17C93"/>
    <w:rsid w:val="00F50BA2"/>
    <w:rsid w:val="00F5664D"/>
    <w:rsid w:val="00F6771B"/>
    <w:rsid w:val="00F703C3"/>
    <w:rsid w:val="00F80799"/>
    <w:rsid w:val="00F81776"/>
    <w:rsid w:val="00F835AD"/>
    <w:rsid w:val="00F844FD"/>
    <w:rsid w:val="00F869A3"/>
    <w:rsid w:val="00F86FB3"/>
    <w:rsid w:val="00F97BF1"/>
    <w:rsid w:val="00FA29D8"/>
    <w:rsid w:val="00FA5F5D"/>
    <w:rsid w:val="00FB0BA6"/>
    <w:rsid w:val="00FC29A0"/>
    <w:rsid w:val="00FC6C17"/>
    <w:rsid w:val="00FE48DB"/>
    <w:rsid w:val="00FF3620"/>
    <w:rsid w:val="00FF3A84"/>
    <w:rsid w:val="01110239"/>
    <w:rsid w:val="028847F9"/>
    <w:rsid w:val="029A6377"/>
    <w:rsid w:val="03AA79F6"/>
    <w:rsid w:val="04741FE5"/>
    <w:rsid w:val="04DB02C7"/>
    <w:rsid w:val="06B856EE"/>
    <w:rsid w:val="07FE5938"/>
    <w:rsid w:val="084604BC"/>
    <w:rsid w:val="08883825"/>
    <w:rsid w:val="09725983"/>
    <w:rsid w:val="0A382BB5"/>
    <w:rsid w:val="0AA4543A"/>
    <w:rsid w:val="0BE61132"/>
    <w:rsid w:val="0C9B0DD6"/>
    <w:rsid w:val="0CE4791C"/>
    <w:rsid w:val="0E063C64"/>
    <w:rsid w:val="0F4C7B96"/>
    <w:rsid w:val="0FFB575E"/>
    <w:rsid w:val="10845F1B"/>
    <w:rsid w:val="11463A00"/>
    <w:rsid w:val="11600918"/>
    <w:rsid w:val="11B0398F"/>
    <w:rsid w:val="13B960C5"/>
    <w:rsid w:val="152777F4"/>
    <w:rsid w:val="15C674B6"/>
    <w:rsid w:val="18D54A0D"/>
    <w:rsid w:val="1A4106A0"/>
    <w:rsid w:val="1A4F5437"/>
    <w:rsid w:val="1AB77CD0"/>
    <w:rsid w:val="1E807156"/>
    <w:rsid w:val="1EA657F6"/>
    <w:rsid w:val="1F097CB6"/>
    <w:rsid w:val="2166156B"/>
    <w:rsid w:val="21B02D83"/>
    <w:rsid w:val="22A236F5"/>
    <w:rsid w:val="23995975"/>
    <w:rsid w:val="2432220E"/>
    <w:rsid w:val="248303BA"/>
    <w:rsid w:val="24837E47"/>
    <w:rsid w:val="252E01AA"/>
    <w:rsid w:val="2680023E"/>
    <w:rsid w:val="29680352"/>
    <w:rsid w:val="2A020F75"/>
    <w:rsid w:val="2B007AEE"/>
    <w:rsid w:val="2BC14C56"/>
    <w:rsid w:val="2C1B026F"/>
    <w:rsid w:val="2CC61F55"/>
    <w:rsid w:val="2EF7452F"/>
    <w:rsid w:val="2F1D13B4"/>
    <w:rsid w:val="2FAA3DA6"/>
    <w:rsid w:val="30682E1F"/>
    <w:rsid w:val="30E210D2"/>
    <w:rsid w:val="311371D6"/>
    <w:rsid w:val="31EB64C9"/>
    <w:rsid w:val="336D0D6F"/>
    <w:rsid w:val="352E4BEC"/>
    <w:rsid w:val="37DD5594"/>
    <w:rsid w:val="38F24FA8"/>
    <w:rsid w:val="3A98342A"/>
    <w:rsid w:val="3AB6780E"/>
    <w:rsid w:val="3AD56D70"/>
    <w:rsid w:val="3B2920C2"/>
    <w:rsid w:val="3BE41ABD"/>
    <w:rsid w:val="3C5421A9"/>
    <w:rsid w:val="3D903B21"/>
    <w:rsid w:val="3F440741"/>
    <w:rsid w:val="41FC306C"/>
    <w:rsid w:val="44BE5554"/>
    <w:rsid w:val="451E0908"/>
    <w:rsid w:val="452C2D31"/>
    <w:rsid w:val="45D26E14"/>
    <w:rsid w:val="46A541B1"/>
    <w:rsid w:val="48C57772"/>
    <w:rsid w:val="49782886"/>
    <w:rsid w:val="4A6F0D28"/>
    <w:rsid w:val="4AAF085C"/>
    <w:rsid w:val="4AEB7E60"/>
    <w:rsid w:val="4B4B135B"/>
    <w:rsid w:val="4BC7055F"/>
    <w:rsid w:val="4CFC7DB2"/>
    <w:rsid w:val="4E7C187D"/>
    <w:rsid w:val="508941AD"/>
    <w:rsid w:val="50E65530"/>
    <w:rsid w:val="51457139"/>
    <w:rsid w:val="51574DBD"/>
    <w:rsid w:val="51EC1DA8"/>
    <w:rsid w:val="52FC5524"/>
    <w:rsid w:val="532D7A17"/>
    <w:rsid w:val="54AF4562"/>
    <w:rsid w:val="54C9674B"/>
    <w:rsid w:val="556318EA"/>
    <w:rsid w:val="55A60AA1"/>
    <w:rsid w:val="56451615"/>
    <w:rsid w:val="57FC5774"/>
    <w:rsid w:val="59B332C9"/>
    <w:rsid w:val="5A44758A"/>
    <w:rsid w:val="5BEC4BB3"/>
    <w:rsid w:val="5C070B55"/>
    <w:rsid w:val="5CB96DCE"/>
    <w:rsid w:val="5CE61580"/>
    <w:rsid w:val="5D175666"/>
    <w:rsid w:val="5D556A3C"/>
    <w:rsid w:val="5D7B25C9"/>
    <w:rsid w:val="5ECB44B4"/>
    <w:rsid w:val="5EE2043C"/>
    <w:rsid w:val="602D2E37"/>
    <w:rsid w:val="61460FBE"/>
    <w:rsid w:val="62775810"/>
    <w:rsid w:val="62D83744"/>
    <w:rsid w:val="630F4048"/>
    <w:rsid w:val="63AA02E5"/>
    <w:rsid w:val="64700DE9"/>
    <w:rsid w:val="65C613BD"/>
    <w:rsid w:val="65FD118C"/>
    <w:rsid w:val="682C3D89"/>
    <w:rsid w:val="68611305"/>
    <w:rsid w:val="6A162DE0"/>
    <w:rsid w:val="6A331428"/>
    <w:rsid w:val="6B2E5CB6"/>
    <w:rsid w:val="6B3D4886"/>
    <w:rsid w:val="6DF8675E"/>
    <w:rsid w:val="6EA80098"/>
    <w:rsid w:val="6F8D70FF"/>
    <w:rsid w:val="6FEB7E5D"/>
    <w:rsid w:val="6FFE5011"/>
    <w:rsid w:val="7178734D"/>
    <w:rsid w:val="71791096"/>
    <w:rsid w:val="717B0C34"/>
    <w:rsid w:val="71FB78FD"/>
    <w:rsid w:val="7275064A"/>
    <w:rsid w:val="733F750B"/>
    <w:rsid w:val="735702E2"/>
    <w:rsid w:val="75A558DD"/>
    <w:rsid w:val="765F635A"/>
    <w:rsid w:val="76B73454"/>
    <w:rsid w:val="76D254BD"/>
    <w:rsid w:val="77727ACD"/>
    <w:rsid w:val="78071142"/>
    <w:rsid w:val="79296B37"/>
    <w:rsid w:val="7A4C4C40"/>
    <w:rsid w:val="7AA0518E"/>
    <w:rsid w:val="7B041636"/>
    <w:rsid w:val="7CA86749"/>
    <w:rsid w:val="7EC92370"/>
    <w:rsid w:val="7F223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2"/>
    <w:semiHidden/>
    <w:unhideWhenUsed/>
    <w:qFormat/>
    <w:uiPriority w:val="99"/>
    <w:pPr>
      <w:jc w:val="left"/>
    </w:pPr>
  </w:style>
  <w:style w:type="paragraph" w:styleId="3">
    <w:name w:val="Balloon Text"/>
    <w:basedOn w:val="1"/>
    <w:link w:val="14"/>
    <w:semiHidden/>
    <w:unhideWhenUsed/>
    <w:qFormat/>
    <w:uiPriority w:val="99"/>
    <w:rPr>
      <w:sz w:val="18"/>
      <w:szCs w:val="18"/>
    </w:rPr>
  </w:style>
  <w:style w:type="paragraph" w:styleId="4">
    <w:name w:val="footer"/>
    <w:basedOn w:val="1"/>
    <w:link w:val="11"/>
    <w:qFormat/>
    <w:uiPriority w:val="0"/>
    <w:pPr>
      <w:tabs>
        <w:tab w:val="center" w:pos="4153"/>
        <w:tab w:val="right" w:pos="8306"/>
      </w:tabs>
      <w:snapToGrid w:val="0"/>
      <w:jc w:val="left"/>
    </w:pPr>
    <w:rPr>
      <w:rFonts w:eastAsia="黑体"/>
      <w:snapToGrid w:val="0"/>
      <w:kern w:val="0"/>
      <w:sz w:val="18"/>
      <w:szCs w:val="18"/>
    </w:rPr>
  </w:style>
  <w:style w:type="paragraph" w:styleId="5">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3"/>
    <w:semiHidden/>
    <w:unhideWhenUsed/>
    <w:qFormat/>
    <w:uiPriority w:val="99"/>
    <w:rPr>
      <w:b/>
      <w:bCs/>
    </w:rPr>
  </w:style>
  <w:style w:type="character" w:styleId="9">
    <w:name w:val="page number"/>
    <w:basedOn w:val="8"/>
    <w:qFormat/>
    <w:uiPriority w:val="0"/>
  </w:style>
  <w:style w:type="character" w:styleId="10">
    <w:name w:val="annotation reference"/>
    <w:basedOn w:val="8"/>
    <w:semiHidden/>
    <w:unhideWhenUsed/>
    <w:qFormat/>
    <w:uiPriority w:val="99"/>
    <w:rPr>
      <w:sz w:val="21"/>
      <w:szCs w:val="21"/>
    </w:rPr>
  </w:style>
  <w:style w:type="character" w:customStyle="1" w:styleId="11">
    <w:name w:val="页脚 Char"/>
    <w:basedOn w:val="8"/>
    <w:link w:val="4"/>
    <w:qFormat/>
    <w:uiPriority w:val="0"/>
    <w:rPr>
      <w:rFonts w:ascii="Times New Roman" w:hAnsi="Times New Roman" w:eastAsia="黑体" w:cs="Times New Roman"/>
      <w:snapToGrid w:val="0"/>
      <w:kern w:val="0"/>
      <w:sz w:val="18"/>
      <w:szCs w:val="18"/>
    </w:rPr>
  </w:style>
  <w:style w:type="character" w:customStyle="1" w:styleId="12">
    <w:name w:val="批注文字 Char"/>
    <w:basedOn w:val="8"/>
    <w:link w:val="2"/>
    <w:semiHidden/>
    <w:qFormat/>
    <w:uiPriority w:val="99"/>
    <w:rPr>
      <w:rFonts w:ascii="Times New Roman" w:hAnsi="Times New Roman" w:eastAsia="宋体" w:cs="Times New Roman"/>
      <w:szCs w:val="24"/>
    </w:rPr>
  </w:style>
  <w:style w:type="character" w:customStyle="1" w:styleId="13">
    <w:name w:val="批注主题 Char"/>
    <w:basedOn w:val="12"/>
    <w:link w:val="6"/>
    <w:semiHidden/>
    <w:qFormat/>
    <w:uiPriority w:val="99"/>
    <w:rPr>
      <w:rFonts w:ascii="Times New Roman" w:hAnsi="Times New Roman" w:eastAsia="宋体" w:cs="Times New Roman"/>
      <w:b/>
      <w:bCs/>
      <w:szCs w:val="24"/>
    </w:rPr>
  </w:style>
  <w:style w:type="character" w:customStyle="1" w:styleId="14">
    <w:name w:val="批注框文本 Char"/>
    <w:basedOn w:val="8"/>
    <w:link w:val="3"/>
    <w:semiHidden/>
    <w:qFormat/>
    <w:uiPriority w:val="99"/>
    <w:rPr>
      <w:rFonts w:ascii="Times New Roman" w:hAnsi="Times New Roman" w:eastAsia="宋体" w:cs="Times New Roman"/>
      <w:sz w:val="18"/>
      <w:szCs w:val="18"/>
    </w:rPr>
  </w:style>
  <w:style w:type="character" w:customStyle="1" w:styleId="15">
    <w:name w:val="页眉 Char"/>
    <w:basedOn w:val="8"/>
    <w:link w:val="5"/>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1150</Words>
  <Characters>6561</Characters>
  <Lines>54</Lines>
  <Paragraphs>15</Paragraphs>
  <TotalTime>1</TotalTime>
  <ScaleCrop>false</ScaleCrop>
  <LinksUpToDate>false</LinksUpToDate>
  <CharactersWithSpaces>7696</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2019-05-30T09:42:00Z</dcterms:created>
  <dc:creator>Administrator</dc:creator>
  <cp:lastModifiedBy>Administrator</cp:lastModifiedBy>
  <dcterms:modified xsi:type="dcterms:W3CDTF">2021-06-04T09:19:21Z</dcterms:modified>
  <cp:revision>811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440CBD13813343E59ED44372BFE6FA3B</vt:lpwstr>
  </property>
</Properties>
</file>